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1636" w:rsidRPr="00C66EBD" w:rsidRDefault="00742900" w:rsidP="00C66EBD">
      <w:pPr>
        <w:widowControl w:val="0"/>
        <w:jc w:val="center"/>
        <w:rPr>
          <w:b/>
          <w:bCs/>
          <w:sz w:val="32"/>
          <w:szCs w:val="32"/>
        </w:rPr>
      </w:pPr>
      <w:r w:rsidRPr="00C66EBD">
        <w:rPr>
          <w:b/>
          <w:bCs/>
          <w:sz w:val="32"/>
          <w:szCs w:val="32"/>
        </w:rPr>
        <w:t>INFORMATION RELATIVE TO</w:t>
      </w:r>
    </w:p>
    <w:p w:rsidR="00521636" w:rsidRPr="00C66EBD" w:rsidRDefault="00742900" w:rsidP="00C66EBD">
      <w:pPr>
        <w:widowControl w:val="0"/>
        <w:jc w:val="center"/>
        <w:rPr>
          <w:b/>
          <w:bCs/>
          <w:sz w:val="32"/>
          <w:szCs w:val="32"/>
        </w:rPr>
      </w:pPr>
      <w:r w:rsidRPr="00C66EBD">
        <w:rPr>
          <w:b/>
          <w:bCs/>
          <w:sz w:val="32"/>
          <w:szCs w:val="32"/>
        </w:rPr>
        <w:t>THE DRAFT TITLE V OPERATING PERMIT</w:t>
      </w:r>
    </w:p>
    <w:p w:rsidR="00521636" w:rsidRPr="00C66EBD" w:rsidRDefault="00EA62DB" w:rsidP="00C66EBD">
      <w:pPr>
        <w:widowControl w:val="0"/>
        <w:jc w:val="center"/>
        <w:rPr>
          <w:b/>
          <w:bCs/>
          <w:sz w:val="28"/>
          <w:szCs w:val="28"/>
        </w:rPr>
      </w:pPr>
      <w:r>
        <w:rPr>
          <w:b/>
          <w:bCs/>
          <w:sz w:val="28"/>
          <w:szCs w:val="28"/>
        </w:rPr>
        <w:t>January 2</w:t>
      </w:r>
      <w:r w:rsidR="002573D0">
        <w:rPr>
          <w:b/>
          <w:bCs/>
          <w:sz w:val="28"/>
          <w:szCs w:val="28"/>
        </w:rPr>
        <w:t>1</w:t>
      </w:r>
      <w:bookmarkStart w:id="0" w:name="_GoBack"/>
      <w:bookmarkEnd w:id="0"/>
      <w:r>
        <w:rPr>
          <w:b/>
          <w:bCs/>
          <w:sz w:val="28"/>
          <w:szCs w:val="28"/>
        </w:rPr>
        <w:t>, 2015</w:t>
      </w:r>
    </w:p>
    <w:p w:rsidR="009027C5" w:rsidRPr="00C66EBD" w:rsidRDefault="009027C5" w:rsidP="00C66EBD">
      <w:pPr>
        <w:widowControl w:val="0"/>
        <w:jc w:val="center"/>
        <w:rPr>
          <w:sz w:val="24"/>
          <w:szCs w:val="24"/>
        </w:rPr>
      </w:pPr>
    </w:p>
    <w:p w:rsidR="00521636" w:rsidRPr="00C66EBD" w:rsidRDefault="00742900" w:rsidP="00C66EBD">
      <w:pPr>
        <w:widowControl w:val="0"/>
        <w:jc w:val="center"/>
        <w:rPr>
          <w:sz w:val="24"/>
          <w:szCs w:val="24"/>
        </w:rPr>
      </w:pPr>
      <w:r w:rsidRPr="00C66EBD">
        <w:rPr>
          <w:sz w:val="24"/>
          <w:szCs w:val="24"/>
        </w:rPr>
        <w:t>FOR:</w:t>
      </w:r>
    </w:p>
    <w:p w:rsidR="009027C5" w:rsidRPr="00C66EBD" w:rsidRDefault="009027C5" w:rsidP="00C66EBD">
      <w:pPr>
        <w:widowControl w:val="0"/>
        <w:jc w:val="center"/>
      </w:pPr>
    </w:p>
    <w:p w:rsidR="007F6300" w:rsidRPr="00C66EBD" w:rsidRDefault="007F6300" w:rsidP="00C66EBD">
      <w:pPr>
        <w:pStyle w:val="BodyText3"/>
        <w:spacing w:after="0"/>
        <w:jc w:val="center"/>
        <w:rPr>
          <w:b/>
          <w:bCs/>
        </w:rPr>
      </w:pPr>
      <w:r w:rsidRPr="00C66EBD">
        <w:rPr>
          <w:b/>
          <w:bCs/>
        </w:rPr>
        <w:t>Mississippi Power Company</w:t>
      </w:r>
    </w:p>
    <w:p w:rsidR="007F6300" w:rsidRPr="00C66EBD" w:rsidRDefault="007F6300" w:rsidP="00C66EBD">
      <w:pPr>
        <w:pStyle w:val="BodyText3"/>
        <w:spacing w:after="0"/>
        <w:jc w:val="center"/>
        <w:rPr>
          <w:b/>
          <w:bCs/>
        </w:rPr>
      </w:pPr>
      <w:r w:rsidRPr="00C66EBD">
        <w:rPr>
          <w:b/>
          <w:bCs/>
        </w:rPr>
        <w:t>Chevron Cogeneration Plant</w:t>
      </w:r>
    </w:p>
    <w:p w:rsidR="007F6300" w:rsidRPr="00C66EBD" w:rsidRDefault="007F6300" w:rsidP="00C66EBD">
      <w:pPr>
        <w:pStyle w:val="BodyText3"/>
        <w:spacing w:after="0"/>
        <w:jc w:val="center"/>
        <w:rPr>
          <w:b/>
          <w:bCs/>
        </w:rPr>
      </w:pPr>
      <w:r w:rsidRPr="00C66EBD">
        <w:rPr>
          <w:b/>
          <w:bCs/>
        </w:rPr>
        <w:t>200 Industrial Road, Gate 4</w:t>
      </w:r>
    </w:p>
    <w:p w:rsidR="007F6300" w:rsidRPr="00C66EBD" w:rsidRDefault="007F6300" w:rsidP="00C66EBD">
      <w:pPr>
        <w:pStyle w:val="ReferenceLine"/>
        <w:spacing w:after="0"/>
        <w:jc w:val="center"/>
        <w:rPr>
          <w:b/>
          <w:bCs/>
        </w:rPr>
      </w:pPr>
      <w:r w:rsidRPr="00C66EBD">
        <w:rPr>
          <w:b/>
          <w:bCs/>
        </w:rPr>
        <w:t>Pascagoula, Mississippi (Jackson Co.)</w:t>
      </w:r>
    </w:p>
    <w:p w:rsidR="007F6300" w:rsidRPr="00C66EBD" w:rsidRDefault="007F6300" w:rsidP="00C66EBD">
      <w:pPr>
        <w:pStyle w:val="ReferenceLine"/>
        <w:spacing w:after="0"/>
        <w:jc w:val="center"/>
        <w:rPr>
          <w:b/>
          <w:bCs/>
        </w:rPr>
      </w:pPr>
      <w:r w:rsidRPr="00C66EBD">
        <w:rPr>
          <w:b/>
          <w:bCs/>
        </w:rPr>
        <w:t>Permit No. 1280-00048</w:t>
      </w:r>
    </w:p>
    <w:p w:rsidR="00521636" w:rsidRPr="00C66EBD" w:rsidRDefault="00521636" w:rsidP="00C66EBD">
      <w:pPr>
        <w:pStyle w:val="ReferenceLine"/>
        <w:spacing w:after="0"/>
      </w:pPr>
    </w:p>
    <w:p w:rsidR="00521636" w:rsidRPr="00C66EBD" w:rsidRDefault="00742900" w:rsidP="00C66EBD">
      <w:pPr>
        <w:widowControl w:val="0"/>
        <w:spacing w:line="360" w:lineRule="auto"/>
        <w:rPr>
          <w:sz w:val="24"/>
          <w:szCs w:val="24"/>
        </w:rPr>
      </w:pPr>
      <w:r w:rsidRPr="00C66EBD">
        <w:rPr>
          <w:sz w:val="24"/>
          <w:szCs w:val="24"/>
          <w:u w:val="single"/>
        </w:rPr>
        <w:t>FACILITY DESCRIPTION</w:t>
      </w:r>
    </w:p>
    <w:p w:rsidR="004607B1" w:rsidRPr="00C66EBD" w:rsidRDefault="004607B1" w:rsidP="00C66EBD">
      <w:pPr>
        <w:widowControl w:val="0"/>
        <w:jc w:val="both"/>
        <w:rPr>
          <w:sz w:val="24"/>
          <w:szCs w:val="24"/>
        </w:rPr>
      </w:pPr>
      <w:bookmarkStart w:id="1" w:name="Text5"/>
      <w:r w:rsidRPr="00C66EBD">
        <w:rPr>
          <w:sz w:val="24"/>
          <w:szCs w:val="24"/>
        </w:rPr>
        <w:t xml:space="preserve">Mississippi Power Company, Chevron Cogenerating Plant is an existing steam electric power plant (SIC 4911) located in Pascagoula, Mississippi (Jackson County).  The plant generates electric energy for sale.  </w:t>
      </w:r>
      <w:r w:rsidR="00801798" w:rsidRPr="00C66EBD">
        <w:rPr>
          <w:sz w:val="24"/>
          <w:szCs w:val="24"/>
        </w:rPr>
        <w:t>The facility combusts natural gas and refinery gas to produce steam, which is used to drive turbines that turn an electric generator.  The exhaust gases from the turbine are sent to a heat recovery steam generator (HRSG) that utilizes the waste heat to produce additional steam that is used to produce additional electricity.</w:t>
      </w:r>
      <w:r w:rsidR="005E47E8" w:rsidRPr="00C66EBD">
        <w:rPr>
          <w:sz w:val="24"/>
          <w:szCs w:val="24"/>
        </w:rPr>
        <w:t xml:space="preserve">  </w:t>
      </w:r>
      <w:r w:rsidRPr="00C66EBD">
        <w:rPr>
          <w:sz w:val="24"/>
          <w:szCs w:val="24"/>
        </w:rPr>
        <w:t>The facility is applying for reissuance of their Title V Operating Permit</w:t>
      </w:r>
      <w:r w:rsidR="00801798" w:rsidRPr="00C66EBD">
        <w:rPr>
          <w:sz w:val="24"/>
          <w:szCs w:val="24"/>
        </w:rPr>
        <w:t xml:space="preserve"> and is not requesting any significant modifications to their existing operations.  </w:t>
      </w:r>
      <w:r w:rsidRPr="00C66EBD">
        <w:rPr>
          <w:sz w:val="24"/>
          <w:szCs w:val="24"/>
        </w:rPr>
        <w:t xml:space="preserve">The facility consists of the following </w:t>
      </w:r>
      <w:r w:rsidR="00801798" w:rsidRPr="00C66EBD">
        <w:rPr>
          <w:sz w:val="24"/>
          <w:szCs w:val="24"/>
        </w:rPr>
        <w:t>emissions points</w:t>
      </w:r>
      <w:r w:rsidRPr="00C66EBD">
        <w:rPr>
          <w:sz w:val="24"/>
          <w:szCs w:val="24"/>
        </w:rPr>
        <w:t>:</w:t>
      </w:r>
    </w:p>
    <w:p w:rsidR="00521636" w:rsidRPr="00C66EBD" w:rsidRDefault="00521636" w:rsidP="00C66EBD">
      <w:pPr>
        <w:widowControl w:val="0"/>
        <w:jc w:val="both"/>
        <w:rPr>
          <w:sz w:val="24"/>
          <w:szCs w:val="24"/>
        </w:rPr>
      </w:pPr>
    </w:p>
    <w:tbl>
      <w:tblPr>
        <w:tblW w:w="0" w:type="auto"/>
        <w:tblInd w:w="120" w:type="dxa"/>
        <w:tblLayout w:type="fixed"/>
        <w:tblCellMar>
          <w:left w:w="120" w:type="dxa"/>
          <w:right w:w="120" w:type="dxa"/>
        </w:tblCellMar>
        <w:tblLook w:val="0000" w:firstRow="0" w:lastRow="0" w:firstColumn="0" w:lastColumn="0" w:noHBand="0" w:noVBand="0"/>
      </w:tblPr>
      <w:tblGrid>
        <w:gridCol w:w="1620"/>
        <w:gridCol w:w="7740"/>
      </w:tblGrid>
      <w:tr w:rsidR="005E47E8" w:rsidRPr="00C66EBD" w:rsidTr="00F16001">
        <w:trPr>
          <w:tblHeader/>
        </w:trPr>
        <w:tc>
          <w:tcPr>
            <w:tcW w:w="1620" w:type="dxa"/>
            <w:tcBorders>
              <w:top w:val="double" w:sz="6" w:space="0" w:color="000000"/>
              <w:left w:val="double" w:sz="6" w:space="0" w:color="000000"/>
              <w:bottom w:val="double" w:sz="6" w:space="0" w:color="000000"/>
              <w:right w:val="single" w:sz="6" w:space="0" w:color="000000"/>
            </w:tcBorders>
            <w:shd w:val="pct20" w:color="000000" w:fill="FFFFFF"/>
          </w:tcPr>
          <w:p w:rsidR="005E47E8" w:rsidRPr="00C66EBD" w:rsidRDefault="005E47E8" w:rsidP="00C66EBD">
            <w:pPr>
              <w:widowControl w:val="0"/>
              <w:tabs>
                <w:tab w:val="left" w:pos="-1213"/>
                <w:tab w:val="left" w:pos="-720"/>
                <w:tab w:val="left" w:pos="0"/>
                <w:tab w:val="left" w:pos="810"/>
              </w:tabs>
              <w:spacing w:before="120" w:after="120"/>
              <w:jc w:val="center"/>
            </w:pPr>
            <w:r w:rsidRPr="00C66EBD">
              <w:t>Emission Point</w:t>
            </w:r>
          </w:p>
        </w:tc>
        <w:tc>
          <w:tcPr>
            <w:tcW w:w="7740" w:type="dxa"/>
            <w:tcBorders>
              <w:top w:val="double" w:sz="6" w:space="0" w:color="000000"/>
              <w:left w:val="single" w:sz="6" w:space="0" w:color="000000"/>
              <w:bottom w:val="double" w:sz="6" w:space="0" w:color="000000"/>
              <w:right w:val="double" w:sz="6" w:space="0" w:color="000000"/>
            </w:tcBorders>
            <w:shd w:val="pct20" w:color="000000" w:fill="FFFFFF"/>
          </w:tcPr>
          <w:p w:rsidR="005E47E8" w:rsidRPr="00C66EBD" w:rsidRDefault="005E47E8" w:rsidP="00C66EBD">
            <w:pPr>
              <w:widowControl w:val="0"/>
              <w:tabs>
                <w:tab w:val="left" w:pos="-1213"/>
                <w:tab w:val="left" w:pos="-720"/>
                <w:tab w:val="left" w:pos="0"/>
                <w:tab w:val="left" w:pos="810"/>
              </w:tabs>
              <w:spacing w:before="120" w:after="120"/>
              <w:jc w:val="center"/>
            </w:pPr>
            <w:r w:rsidRPr="00C66EBD">
              <w:t>Description</w:t>
            </w:r>
          </w:p>
        </w:tc>
      </w:tr>
      <w:tr w:rsidR="005E47E8" w:rsidRPr="00C66EBD" w:rsidTr="00F16001">
        <w:tc>
          <w:tcPr>
            <w:tcW w:w="1620" w:type="dxa"/>
            <w:tcBorders>
              <w:top w:val="single" w:sz="6" w:space="0" w:color="000000"/>
              <w:left w:val="single" w:sz="6" w:space="0" w:color="000000"/>
              <w:bottom w:val="single" w:sz="6" w:space="0" w:color="000000"/>
              <w:right w:val="single" w:sz="6" w:space="0" w:color="000000"/>
            </w:tcBorders>
          </w:tcPr>
          <w:p w:rsidR="005E47E8" w:rsidRPr="00C66EBD" w:rsidRDefault="005E47E8" w:rsidP="00C66EBD">
            <w:pPr>
              <w:widowControl w:val="0"/>
              <w:spacing w:line="120" w:lineRule="exact"/>
            </w:pPr>
          </w:p>
          <w:p w:rsidR="005E47E8" w:rsidRPr="00C66EBD" w:rsidRDefault="005E47E8" w:rsidP="00C66EBD">
            <w:pPr>
              <w:widowControl w:val="0"/>
              <w:tabs>
                <w:tab w:val="left" w:pos="-1213"/>
                <w:tab w:val="left" w:pos="-720"/>
                <w:tab w:val="right" w:leader="dot" w:pos="0"/>
                <w:tab w:val="left" w:pos="720"/>
                <w:tab w:val="left" w:pos="1350"/>
                <w:tab w:val="left" w:pos="1980"/>
                <w:tab w:val="left" w:pos="2880"/>
                <w:tab w:val="left" w:pos="3420"/>
                <w:tab w:val="left" w:pos="4320"/>
              </w:tabs>
              <w:spacing w:after="58"/>
              <w:jc w:val="center"/>
            </w:pPr>
            <w:r w:rsidRPr="00C66EBD">
              <w:t>AA-001</w:t>
            </w:r>
          </w:p>
        </w:tc>
        <w:tc>
          <w:tcPr>
            <w:tcW w:w="7740" w:type="dxa"/>
            <w:tcBorders>
              <w:top w:val="single" w:sz="6" w:space="0" w:color="000000"/>
              <w:left w:val="single" w:sz="6" w:space="0" w:color="000000"/>
              <w:bottom w:val="single" w:sz="6" w:space="0" w:color="000000"/>
              <w:right w:val="single" w:sz="6" w:space="0" w:color="000000"/>
            </w:tcBorders>
          </w:tcPr>
          <w:p w:rsidR="005E47E8" w:rsidRPr="00C66EBD" w:rsidRDefault="005E47E8" w:rsidP="00C66EBD">
            <w:pPr>
              <w:widowControl w:val="0"/>
              <w:spacing w:line="120" w:lineRule="exact"/>
            </w:pPr>
          </w:p>
          <w:p w:rsidR="005E47E8" w:rsidRPr="00C66EBD" w:rsidRDefault="005E47E8" w:rsidP="00C66EBD">
            <w:pPr>
              <w:widowControl w:val="0"/>
              <w:tabs>
                <w:tab w:val="left" w:pos="-1213"/>
                <w:tab w:val="left" w:pos="-720"/>
                <w:tab w:val="right" w:leader="dot" w:pos="0"/>
                <w:tab w:val="left" w:pos="720"/>
                <w:tab w:val="left" w:pos="1350"/>
                <w:tab w:val="left" w:pos="1980"/>
                <w:tab w:val="left" w:pos="2880"/>
                <w:tab w:val="left" w:pos="3420"/>
                <w:tab w:val="left" w:pos="4320"/>
              </w:tabs>
              <w:spacing w:after="58"/>
            </w:pPr>
            <w:r w:rsidRPr="00C66EBD">
              <w:t>305.9 MMBtu/hr natural gas/refinery fuel gas fired GE Model L combustion turbine with heat recovery steam generator (HRSG).</w:t>
            </w:r>
          </w:p>
        </w:tc>
      </w:tr>
      <w:tr w:rsidR="005E47E8" w:rsidRPr="00C66EBD" w:rsidTr="00F16001">
        <w:tc>
          <w:tcPr>
            <w:tcW w:w="1620" w:type="dxa"/>
            <w:tcBorders>
              <w:top w:val="single" w:sz="6" w:space="0" w:color="000000"/>
              <w:left w:val="single" w:sz="6" w:space="0" w:color="000000"/>
              <w:bottom w:val="single" w:sz="6" w:space="0" w:color="000000"/>
              <w:right w:val="single" w:sz="6" w:space="0" w:color="000000"/>
            </w:tcBorders>
          </w:tcPr>
          <w:p w:rsidR="005E47E8" w:rsidRPr="00C66EBD" w:rsidRDefault="005E47E8" w:rsidP="00C66EBD">
            <w:pPr>
              <w:widowControl w:val="0"/>
              <w:spacing w:line="120" w:lineRule="exact"/>
            </w:pPr>
          </w:p>
          <w:p w:rsidR="005E47E8" w:rsidRPr="00C66EBD" w:rsidRDefault="005E47E8" w:rsidP="00C66EBD">
            <w:pPr>
              <w:widowControl w:val="0"/>
              <w:tabs>
                <w:tab w:val="left" w:pos="-1213"/>
                <w:tab w:val="left" w:pos="-720"/>
                <w:tab w:val="right" w:leader="dot" w:pos="0"/>
                <w:tab w:val="left" w:pos="720"/>
                <w:tab w:val="left" w:pos="1350"/>
                <w:tab w:val="left" w:pos="1980"/>
                <w:tab w:val="left" w:pos="2880"/>
                <w:tab w:val="left" w:pos="3420"/>
                <w:tab w:val="left" w:pos="4320"/>
              </w:tabs>
              <w:spacing w:after="58"/>
              <w:jc w:val="center"/>
            </w:pPr>
            <w:r w:rsidRPr="00C66EBD">
              <w:t>AA-002</w:t>
            </w:r>
          </w:p>
        </w:tc>
        <w:tc>
          <w:tcPr>
            <w:tcW w:w="7740" w:type="dxa"/>
            <w:tcBorders>
              <w:top w:val="single" w:sz="6" w:space="0" w:color="000000"/>
              <w:left w:val="single" w:sz="6" w:space="0" w:color="000000"/>
              <w:bottom w:val="single" w:sz="6" w:space="0" w:color="000000"/>
              <w:right w:val="single" w:sz="6" w:space="0" w:color="000000"/>
            </w:tcBorders>
          </w:tcPr>
          <w:p w:rsidR="005E47E8" w:rsidRPr="00C66EBD" w:rsidRDefault="005E47E8" w:rsidP="00C66EBD">
            <w:pPr>
              <w:widowControl w:val="0"/>
              <w:spacing w:line="120" w:lineRule="exact"/>
            </w:pPr>
          </w:p>
          <w:p w:rsidR="005E47E8" w:rsidRPr="00C66EBD" w:rsidRDefault="005E47E8" w:rsidP="00C66EBD">
            <w:pPr>
              <w:widowControl w:val="0"/>
              <w:tabs>
                <w:tab w:val="left" w:pos="-1213"/>
                <w:tab w:val="left" w:pos="-720"/>
                <w:tab w:val="right" w:leader="dot" w:pos="0"/>
                <w:tab w:val="left" w:pos="720"/>
                <w:tab w:val="left" w:pos="1350"/>
                <w:tab w:val="left" w:pos="1980"/>
                <w:tab w:val="left" w:pos="2880"/>
                <w:tab w:val="left" w:pos="3420"/>
                <w:tab w:val="left" w:pos="4320"/>
              </w:tabs>
              <w:spacing w:after="58"/>
            </w:pPr>
            <w:r w:rsidRPr="00C66EBD">
              <w:t>305.9 MMBtu/hr natural gas/refinery fuel gas fired GE Model L combustion turbine with heat recovery steam generator (HRSG).</w:t>
            </w:r>
          </w:p>
        </w:tc>
      </w:tr>
      <w:tr w:rsidR="005E47E8" w:rsidRPr="00C66EBD" w:rsidTr="00F16001">
        <w:tc>
          <w:tcPr>
            <w:tcW w:w="1620" w:type="dxa"/>
            <w:tcBorders>
              <w:top w:val="single" w:sz="6" w:space="0" w:color="000000"/>
              <w:left w:val="single" w:sz="6" w:space="0" w:color="000000"/>
              <w:bottom w:val="single" w:sz="6" w:space="0" w:color="000000"/>
              <w:right w:val="single" w:sz="6" w:space="0" w:color="000000"/>
            </w:tcBorders>
          </w:tcPr>
          <w:p w:rsidR="005E47E8" w:rsidRPr="00C66EBD" w:rsidRDefault="005E47E8" w:rsidP="00C66EBD">
            <w:pPr>
              <w:widowControl w:val="0"/>
              <w:spacing w:line="120" w:lineRule="exact"/>
            </w:pPr>
          </w:p>
          <w:p w:rsidR="005E47E8" w:rsidRPr="00C66EBD" w:rsidRDefault="005E47E8" w:rsidP="00C66EBD">
            <w:pPr>
              <w:widowControl w:val="0"/>
              <w:tabs>
                <w:tab w:val="left" w:pos="-1213"/>
                <w:tab w:val="left" w:pos="-720"/>
                <w:tab w:val="right" w:leader="dot" w:pos="0"/>
                <w:tab w:val="left" w:pos="720"/>
                <w:tab w:val="left" w:pos="1350"/>
                <w:tab w:val="left" w:pos="1980"/>
                <w:tab w:val="left" w:pos="2880"/>
                <w:tab w:val="left" w:pos="3420"/>
                <w:tab w:val="left" w:pos="4320"/>
              </w:tabs>
              <w:spacing w:after="58"/>
              <w:jc w:val="center"/>
            </w:pPr>
            <w:r w:rsidRPr="00C66EBD">
              <w:t>AA-003</w:t>
            </w:r>
          </w:p>
        </w:tc>
        <w:tc>
          <w:tcPr>
            <w:tcW w:w="7740" w:type="dxa"/>
            <w:tcBorders>
              <w:top w:val="single" w:sz="6" w:space="0" w:color="000000"/>
              <w:left w:val="single" w:sz="6" w:space="0" w:color="000000"/>
              <w:bottom w:val="single" w:sz="6" w:space="0" w:color="000000"/>
              <w:right w:val="single" w:sz="6" w:space="0" w:color="000000"/>
            </w:tcBorders>
          </w:tcPr>
          <w:p w:rsidR="005E47E8" w:rsidRPr="00C66EBD" w:rsidRDefault="005E47E8" w:rsidP="00C66EBD">
            <w:pPr>
              <w:widowControl w:val="0"/>
              <w:spacing w:line="120" w:lineRule="exact"/>
            </w:pPr>
          </w:p>
          <w:p w:rsidR="005E47E8" w:rsidRPr="00C66EBD" w:rsidRDefault="005E47E8" w:rsidP="00C66EBD">
            <w:pPr>
              <w:widowControl w:val="0"/>
              <w:tabs>
                <w:tab w:val="left" w:pos="-1213"/>
                <w:tab w:val="left" w:pos="-720"/>
                <w:tab w:val="right" w:leader="dot" w:pos="0"/>
                <w:tab w:val="left" w:pos="720"/>
                <w:tab w:val="left" w:pos="1350"/>
                <w:tab w:val="left" w:pos="1980"/>
                <w:tab w:val="left" w:pos="2880"/>
                <w:tab w:val="left" w:pos="3420"/>
                <w:tab w:val="left" w:pos="4320"/>
              </w:tabs>
              <w:spacing w:after="58"/>
            </w:pPr>
            <w:r w:rsidRPr="00C66EBD">
              <w:t>455.9 MMBtu/hr natural gas/refinery fuel gas fired GE Model M combustion turbine with supplemental-fired heat recovery steam generator (HRSG).</w:t>
            </w:r>
          </w:p>
        </w:tc>
      </w:tr>
      <w:tr w:rsidR="005E47E8" w:rsidRPr="00C66EBD" w:rsidTr="00F16001">
        <w:tc>
          <w:tcPr>
            <w:tcW w:w="1620" w:type="dxa"/>
            <w:tcBorders>
              <w:top w:val="single" w:sz="6" w:space="0" w:color="000000"/>
              <w:left w:val="single" w:sz="6" w:space="0" w:color="000000"/>
              <w:bottom w:val="single" w:sz="6" w:space="0" w:color="000000"/>
              <w:right w:val="single" w:sz="6" w:space="0" w:color="000000"/>
            </w:tcBorders>
          </w:tcPr>
          <w:p w:rsidR="005E47E8" w:rsidRPr="00C66EBD" w:rsidRDefault="005E47E8" w:rsidP="00C66EBD">
            <w:pPr>
              <w:widowControl w:val="0"/>
              <w:spacing w:line="120" w:lineRule="exact"/>
            </w:pPr>
          </w:p>
          <w:p w:rsidR="005E47E8" w:rsidRPr="00C66EBD" w:rsidRDefault="005E47E8" w:rsidP="00C66EBD">
            <w:pPr>
              <w:widowControl w:val="0"/>
              <w:tabs>
                <w:tab w:val="left" w:pos="-1213"/>
                <w:tab w:val="left" w:pos="-720"/>
                <w:tab w:val="right" w:leader="dot" w:pos="0"/>
                <w:tab w:val="left" w:pos="720"/>
                <w:tab w:val="left" w:pos="1350"/>
                <w:tab w:val="left" w:pos="1980"/>
                <w:tab w:val="left" w:pos="2880"/>
                <w:tab w:val="left" w:pos="3420"/>
                <w:tab w:val="left" w:pos="4320"/>
              </w:tabs>
              <w:spacing w:after="58"/>
              <w:jc w:val="center"/>
            </w:pPr>
            <w:r w:rsidRPr="00C66EBD">
              <w:t>AA-004</w:t>
            </w:r>
          </w:p>
        </w:tc>
        <w:tc>
          <w:tcPr>
            <w:tcW w:w="7740" w:type="dxa"/>
            <w:tcBorders>
              <w:top w:val="single" w:sz="6" w:space="0" w:color="000000"/>
              <w:left w:val="single" w:sz="6" w:space="0" w:color="000000"/>
              <w:bottom w:val="single" w:sz="6" w:space="0" w:color="000000"/>
              <w:right w:val="single" w:sz="6" w:space="0" w:color="000000"/>
            </w:tcBorders>
          </w:tcPr>
          <w:p w:rsidR="005E47E8" w:rsidRPr="00C66EBD" w:rsidRDefault="005E47E8" w:rsidP="00C66EBD">
            <w:pPr>
              <w:widowControl w:val="0"/>
              <w:spacing w:line="120" w:lineRule="exact"/>
            </w:pPr>
          </w:p>
          <w:p w:rsidR="005E47E8" w:rsidRPr="00C66EBD" w:rsidRDefault="005E47E8" w:rsidP="00C66EBD">
            <w:pPr>
              <w:widowControl w:val="0"/>
              <w:tabs>
                <w:tab w:val="left" w:pos="-1213"/>
                <w:tab w:val="left" w:pos="-720"/>
                <w:tab w:val="right" w:leader="dot" w:pos="0"/>
                <w:tab w:val="left" w:pos="720"/>
                <w:tab w:val="left" w:pos="1350"/>
                <w:tab w:val="left" w:pos="1980"/>
                <w:tab w:val="left" w:pos="2880"/>
                <w:tab w:val="left" w:pos="3420"/>
                <w:tab w:val="left" w:pos="4320"/>
              </w:tabs>
              <w:spacing w:after="58"/>
            </w:pPr>
            <w:r w:rsidRPr="00C66EBD">
              <w:t>455.9 MMBtu/hr natural gas/refinery fuel gas fired GE Model M combustion turbine with supplemental-fired heat recovery steam generator (HRSG).</w:t>
            </w:r>
          </w:p>
        </w:tc>
      </w:tr>
      <w:tr w:rsidR="005E47E8" w:rsidRPr="00C66EBD" w:rsidTr="00F16001">
        <w:tc>
          <w:tcPr>
            <w:tcW w:w="1620" w:type="dxa"/>
            <w:tcBorders>
              <w:top w:val="single" w:sz="6" w:space="0" w:color="000000"/>
              <w:left w:val="single" w:sz="6" w:space="0" w:color="000000"/>
              <w:bottom w:val="single" w:sz="6" w:space="0" w:color="000000"/>
              <w:right w:val="single" w:sz="6" w:space="0" w:color="000000"/>
            </w:tcBorders>
          </w:tcPr>
          <w:p w:rsidR="005E47E8" w:rsidRPr="00C66EBD" w:rsidRDefault="005E47E8" w:rsidP="00C66EBD">
            <w:pPr>
              <w:widowControl w:val="0"/>
              <w:spacing w:line="120" w:lineRule="exact"/>
            </w:pPr>
          </w:p>
          <w:p w:rsidR="005E47E8" w:rsidRPr="00C66EBD" w:rsidRDefault="005E47E8" w:rsidP="00C66EBD">
            <w:pPr>
              <w:widowControl w:val="0"/>
              <w:tabs>
                <w:tab w:val="left" w:pos="-1213"/>
                <w:tab w:val="left" w:pos="-720"/>
                <w:tab w:val="right" w:leader="dot" w:pos="0"/>
                <w:tab w:val="left" w:pos="720"/>
                <w:tab w:val="left" w:pos="1350"/>
                <w:tab w:val="left" w:pos="1980"/>
                <w:tab w:val="left" w:pos="2880"/>
                <w:tab w:val="left" w:pos="3420"/>
                <w:tab w:val="left" w:pos="4320"/>
              </w:tabs>
              <w:spacing w:after="58"/>
              <w:jc w:val="center"/>
            </w:pPr>
            <w:r w:rsidRPr="00C66EBD">
              <w:t>AA-005</w:t>
            </w:r>
          </w:p>
        </w:tc>
        <w:tc>
          <w:tcPr>
            <w:tcW w:w="7740" w:type="dxa"/>
            <w:tcBorders>
              <w:top w:val="single" w:sz="6" w:space="0" w:color="000000"/>
              <w:left w:val="single" w:sz="6" w:space="0" w:color="000000"/>
              <w:bottom w:val="single" w:sz="6" w:space="0" w:color="000000"/>
              <w:right w:val="single" w:sz="6" w:space="0" w:color="000000"/>
            </w:tcBorders>
          </w:tcPr>
          <w:p w:rsidR="005E47E8" w:rsidRPr="00C66EBD" w:rsidRDefault="005E47E8" w:rsidP="00C66EBD">
            <w:pPr>
              <w:widowControl w:val="0"/>
              <w:spacing w:line="120" w:lineRule="exact"/>
            </w:pPr>
          </w:p>
          <w:p w:rsidR="005E47E8" w:rsidRPr="00C66EBD" w:rsidRDefault="005E47E8" w:rsidP="00C66EBD">
            <w:pPr>
              <w:widowControl w:val="0"/>
              <w:tabs>
                <w:tab w:val="left" w:pos="-1213"/>
                <w:tab w:val="left" w:pos="-720"/>
                <w:tab w:val="right" w:leader="dot" w:pos="0"/>
                <w:tab w:val="left" w:pos="720"/>
                <w:tab w:val="left" w:pos="1350"/>
                <w:tab w:val="left" w:pos="1980"/>
                <w:tab w:val="left" w:pos="2880"/>
                <w:tab w:val="left" w:pos="3420"/>
                <w:tab w:val="left" w:pos="4320"/>
              </w:tabs>
              <w:spacing w:after="58"/>
            </w:pPr>
            <w:r w:rsidRPr="00C66EBD">
              <w:t>1084.6 MMBtu/hr natural gas fired ABB Model Number GT11N combustion turbine equipped with ABB dry low-NO</w:t>
            </w:r>
            <w:r w:rsidRPr="00C66EBD">
              <w:rPr>
                <w:vertAlign w:val="subscript"/>
              </w:rPr>
              <w:t>X</w:t>
            </w:r>
            <w:r w:rsidRPr="00C66EBD">
              <w:t xml:space="preserve"> combustor system and heat recovery steam generator (HRSG).</w:t>
            </w:r>
          </w:p>
        </w:tc>
      </w:tr>
      <w:tr w:rsidR="005E47E8" w:rsidRPr="00C66EBD" w:rsidTr="00F16001">
        <w:tc>
          <w:tcPr>
            <w:tcW w:w="1620" w:type="dxa"/>
            <w:tcBorders>
              <w:top w:val="single" w:sz="6" w:space="0" w:color="000000"/>
              <w:left w:val="single" w:sz="6" w:space="0" w:color="000000"/>
              <w:bottom w:val="single" w:sz="6" w:space="0" w:color="000000"/>
              <w:right w:val="single" w:sz="6" w:space="0" w:color="000000"/>
            </w:tcBorders>
          </w:tcPr>
          <w:p w:rsidR="005E47E8" w:rsidRPr="00C66EBD" w:rsidRDefault="005E47E8" w:rsidP="00C66EBD">
            <w:pPr>
              <w:widowControl w:val="0"/>
              <w:spacing w:line="120" w:lineRule="exact"/>
            </w:pPr>
          </w:p>
          <w:p w:rsidR="005E47E8" w:rsidRPr="00C66EBD" w:rsidRDefault="005E47E8" w:rsidP="00C66EBD">
            <w:pPr>
              <w:widowControl w:val="0"/>
              <w:tabs>
                <w:tab w:val="left" w:pos="-1213"/>
                <w:tab w:val="left" w:pos="-720"/>
                <w:tab w:val="right" w:leader="dot" w:pos="0"/>
                <w:tab w:val="left" w:pos="720"/>
                <w:tab w:val="left" w:pos="1350"/>
                <w:tab w:val="left" w:pos="1980"/>
                <w:tab w:val="left" w:pos="2880"/>
                <w:tab w:val="left" w:pos="3420"/>
                <w:tab w:val="left" w:pos="4320"/>
              </w:tabs>
              <w:spacing w:after="58"/>
              <w:jc w:val="center"/>
            </w:pPr>
            <w:r w:rsidRPr="00C66EBD">
              <w:t>AA-006</w:t>
            </w:r>
          </w:p>
        </w:tc>
        <w:tc>
          <w:tcPr>
            <w:tcW w:w="7740" w:type="dxa"/>
            <w:tcBorders>
              <w:top w:val="single" w:sz="6" w:space="0" w:color="000000"/>
              <w:left w:val="single" w:sz="6" w:space="0" w:color="000000"/>
              <w:bottom w:val="single" w:sz="6" w:space="0" w:color="000000"/>
              <w:right w:val="single" w:sz="6" w:space="0" w:color="000000"/>
            </w:tcBorders>
          </w:tcPr>
          <w:p w:rsidR="005E47E8" w:rsidRPr="00C66EBD" w:rsidRDefault="005E47E8" w:rsidP="00C66EBD">
            <w:pPr>
              <w:widowControl w:val="0"/>
              <w:spacing w:line="120" w:lineRule="exact"/>
            </w:pPr>
          </w:p>
          <w:p w:rsidR="005E47E8" w:rsidRPr="00C66EBD" w:rsidRDefault="005E47E8" w:rsidP="00C66EBD">
            <w:pPr>
              <w:widowControl w:val="0"/>
              <w:tabs>
                <w:tab w:val="left" w:pos="-1213"/>
                <w:tab w:val="left" w:pos="-720"/>
                <w:tab w:val="right" w:leader="dot" w:pos="0"/>
                <w:tab w:val="left" w:pos="720"/>
                <w:tab w:val="left" w:pos="1350"/>
                <w:tab w:val="left" w:pos="1980"/>
                <w:tab w:val="left" w:pos="2880"/>
                <w:tab w:val="left" w:pos="3420"/>
                <w:tab w:val="left" w:pos="4320"/>
              </w:tabs>
              <w:spacing w:after="58"/>
            </w:pPr>
            <w:r w:rsidRPr="00C66EBD">
              <w:t>221.3 MMBtu/hr natural gas fired Wabash skid-mounted boiler.</w:t>
            </w:r>
          </w:p>
        </w:tc>
      </w:tr>
      <w:tr w:rsidR="005E47E8" w:rsidRPr="00C66EBD" w:rsidTr="00F16001">
        <w:tc>
          <w:tcPr>
            <w:tcW w:w="1620" w:type="dxa"/>
            <w:tcBorders>
              <w:top w:val="single" w:sz="6" w:space="0" w:color="000000"/>
              <w:left w:val="single" w:sz="6" w:space="0" w:color="000000"/>
              <w:bottom w:val="single" w:sz="6" w:space="0" w:color="000000"/>
              <w:right w:val="single" w:sz="6" w:space="0" w:color="000000"/>
            </w:tcBorders>
          </w:tcPr>
          <w:p w:rsidR="005E47E8" w:rsidRPr="00C66EBD" w:rsidRDefault="005E47E8" w:rsidP="00C66EBD">
            <w:pPr>
              <w:widowControl w:val="0"/>
              <w:tabs>
                <w:tab w:val="left" w:pos="-1213"/>
                <w:tab w:val="left" w:pos="-720"/>
                <w:tab w:val="left" w:pos="0"/>
                <w:tab w:val="left" w:pos="810"/>
              </w:tabs>
              <w:spacing w:before="120" w:after="120"/>
              <w:jc w:val="center"/>
            </w:pPr>
            <w:r w:rsidRPr="00C66EBD">
              <w:t>AA-007 thru AA-011</w:t>
            </w:r>
          </w:p>
        </w:tc>
        <w:tc>
          <w:tcPr>
            <w:tcW w:w="7740" w:type="dxa"/>
            <w:tcBorders>
              <w:top w:val="single" w:sz="6" w:space="0" w:color="000000"/>
              <w:left w:val="single" w:sz="6" w:space="0" w:color="000000"/>
              <w:bottom w:val="single" w:sz="6" w:space="0" w:color="000000"/>
              <w:right w:val="single" w:sz="6" w:space="0" w:color="000000"/>
            </w:tcBorders>
          </w:tcPr>
          <w:p w:rsidR="005E47E8" w:rsidRPr="00C66EBD" w:rsidRDefault="005E47E8" w:rsidP="00C66EBD">
            <w:pPr>
              <w:widowControl w:val="0"/>
              <w:tabs>
                <w:tab w:val="left" w:pos="-1213"/>
                <w:tab w:val="left" w:pos="-720"/>
                <w:tab w:val="left" w:pos="0"/>
                <w:tab w:val="left" w:pos="810"/>
              </w:tabs>
              <w:spacing w:before="120" w:after="120"/>
            </w:pPr>
            <w:r w:rsidRPr="00C66EBD">
              <w:t>Storage Tanks (Insignificant Activities)</w:t>
            </w:r>
          </w:p>
        </w:tc>
      </w:tr>
      <w:tr w:rsidR="005E47E8" w:rsidRPr="00C66EBD" w:rsidTr="00F16001">
        <w:tc>
          <w:tcPr>
            <w:tcW w:w="1620" w:type="dxa"/>
            <w:tcBorders>
              <w:top w:val="single" w:sz="6" w:space="0" w:color="000000"/>
              <w:left w:val="single" w:sz="6" w:space="0" w:color="000000"/>
              <w:bottom w:val="single" w:sz="6" w:space="0" w:color="000000"/>
              <w:right w:val="single" w:sz="6" w:space="0" w:color="000000"/>
            </w:tcBorders>
          </w:tcPr>
          <w:p w:rsidR="005E47E8" w:rsidRPr="00C66EBD" w:rsidRDefault="005E47E8" w:rsidP="00C66EBD">
            <w:pPr>
              <w:widowControl w:val="0"/>
              <w:tabs>
                <w:tab w:val="left" w:pos="-1213"/>
                <w:tab w:val="left" w:pos="-720"/>
                <w:tab w:val="left" w:pos="0"/>
                <w:tab w:val="left" w:pos="810"/>
              </w:tabs>
              <w:spacing w:before="120" w:after="120"/>
              <w:jc w:val="center"/>
            </w:pPr>
            <w:r w:rsidRPr="00C66EBD">
              <w:t>AA-012 and AA-013</w:t>
            </w:r>
          </w:p>
        </w:tc>
        <w:tc>
          <w:tcPr>
            <w:tcW w:w="7740" w:type="dxa"/>
            <w:tcBorders>
              <w:top w:val="single" w:sz="6" w:space="0" w:color="000000"/>
              <w:left w:val="single" w:sz="6" w:space="0" w:color="000000"/>
              <w:bottom w:val="single" w:sz="6" w:space="0" w:color="000000"/>
              <w:right w:val="single" w:sz="6" w:space="0" w:color="000000"/>
            </w:tcBorders>
          </w:tcPr>
          <w:p w:rsidR="005E47E8" w:rsidRPr="00C66EBD" w:rsidRDefault="005E47E8" w:rsidP="00C66EBD">
            <w:pPr>
              <w:widowControl w:val="0"/>
              <w:tabs>
                <w:tab w:val="left" w:pos="-1213"/>
                <w:tab w:val="left" w:pos="-720"/>
                <w:tab w:val="left" w:pos="0"/>
                <w:tab w:val="left" w:pos="810"/>
              </w:tabs>
              <w:spacing w:before="120" w:after="120"/>
            </w:pPr>
            <w:r w:rsidRPr="00C66EBD">
              <w:t>2 – 300 horsepower (0.7623 MMBTU/hr) Cummings diesel fired black start-up engines.</w:t>
            </w:r>
          </w:p>
        </w:tc>
      </w:tr>
      <w:tr w:rsidR="005E47E8" w:rsidRPr="00C66EBD" w:rsidTr="00F16001">
        <w:tc>
          <w:tcPr>
            <w:tcW w:w="1620" w:type="dxa"/>
            <w:tcBorders>
              <w:top w:val="single" w:sz="6" w:space="0" w:color="000000"/>
              <w:left w:val="single" w:sz="6" w:space="0" w:color="000000"/>
              <w:bottom w:val="single" w:sz="6" w:space="0" w:color="000000"/>
              <w:right w:val="single" w:sz="6" w:space="0" w:color="000000"/>
            </w:tcBorders>
          </w:tcPr>
          <w:p w:rsidR="005E47E8" w:rsidRPr="00C66EBD" w:rsidRDefault="005E47E8" w:rsidP="00C66EBD">
            <w:pPr>
              <w:widowControl w:val="0"/>
              <w:tabs>
                <w:tab w:val="left" w:pos="-1213"/>
                <w:tab w:val="left" w:pos="-720"/>
                <w:tab w:val="left" w:pos="0"/>
                <w:tab w:val="left" w:pos="810"/>
              </w:tabs>
              <w:spacing w:before="120" w:after="120"/>
              <w:jc w:val="center"/>
            </w:pPr>
            <w:r w:rsidRPr="00C66EBD">
              <w:t>AA-014</w:t>
            </w:r>
          </w:p>
        </w:tc>
        <w:tc>
          <w:tcPr>
            <w:tcW w:w="7740" w:type="dxa"/>
            <w:tcBorders>
              <w:top w:val="single" w:sz="6" w:space="0" w:color="000000"/>
              <w:left w:val="single" w:sz="6" w:space="0" w:color="000000"/>
              <w:bottom w:val="single" w:sz="6" w:space="0" w:color="000000"/>
              <w:right w:val="single" w:sz="6" w:space="0" w:color="000000"/>
            </w:tcBorders>
          </w:tcPr>
          <w:p w:rsidR="005E47E8" w:rsidRPr="00C66EBD" w:rsidRDefault="005E47E8" w:rsidP="00C66EBD">
            <w:pPr>
              <w:widowControl w:val="0"/>
              <w:tabs>
                <w:tab w:val="left" w:pos="-1213"/>
                <w:tab w:val="left" w:pos="-720"/>
                <w:tab w:val="left" w:pos="0"/>
                <w:tab w:val="left" w:pos="810"/>
              </w:tabs>
              <w:spacing w:before="120" w:after="120"/>
            </w:pPr>
            <w:r w:rsidRPr="00C66EBD">
              <w:t>20 horsepower Briggs and Stratton propane fired UPS backup generator engine.</w:t>
            </w:r>
          </w:p>
        </w:tc>
      </w:tr>
    </w:tbl>
    <w:p w:rsidR="005E47E8" w:rsidRPr="00C66EBD" w:rsidRDefault="005E47E8" w:rsidP="00C66EBD">
      <w:pPr>
        <w:widowControl w:val="0"/>
        <w:jc w:val="both"/>
        <w:rPr>
          <w:sz w:val="24"/>
          <w:szCs w:val="24"/>
        </w:rPr>
      </w:pPr>
    </w:p>
    <w:p w:rsidR="00521636" w:rsidRPr="00C66EBD" w:rsidRDefault="00742900" w:rsidP="00C66EBD">
      <w:pPr>
        <w:widowControl w:val="0"/>
        <w:jc w:val="both"/>
        <w:rPr>
          <w:sz w:val="24"/>
          <w:szCs w:val="24"/>
        </w:rPr>
      </w:pPr>
      <w:r w:rsidRPr="00C66EBD">
        <w:rPr>
          <w:sz w:val="24"/>
          <w:szCs w:val="24"/>
        </w:rPr>
        <w:t>Th</w:t>
      </w:r>
      <w:r w:rsidR="002B426F" w:rsidRPr="00C66EBD">
        <w:rPr>
          <w:sz w:val="24"/>
          <w:szCs w:val="24"/>
        </w:rPr>
        <w:t>is</w:t>
      </w:r>
      <w:r w:rsidRPr="00C66EBD">
        <w:rPr>
          <w:sz w:val="24"/>
          <w:szCs w:val="24"/>
        </w:rPr>
        <w:t xml:space="preserve"> permit is not believed to trigger or require a Prevention of Significant Deterioration (PSD) </w:t>
      </w:r>
      <w:r w:rsidR="00031F97" w:rsidRPr="00C66EBD">
        <w:rPr>
          <w:sz w:val="24"/>
          <w:szCs w:val="24"/>
        </w:rPr>
        <w:t>review as a result of this renewal; however, the f</w:t>
      </w:r>
      <w:r w:rsidRPr="00C66EBD">
        <w:rPr>
          <w:sz w:val="24"/>
          <w:szCs w:val="24"/>
        </w:rPr>
        <w:t>acility is a</w:t>
      </w:r>
      <w:r w:rsidR="00031F97" w:rsidRPr="00C66EBD">
        <w:rPr>
          <w:sz w:val="24"/>
          <w:szCs w:val="24"/>
        </w:rPr>
        <w:t xml:space="preserve"> fossil fuel-fired steam electric plant totaling more than 250 million BTU/hr heat input</w:t>
      </w:r>
      <w:r w:rsidR="005E47E8" w:rsidRPr="00C66EBD">
        <w:rPr>
          <w:sz w:val="24"/>
          <w:szCs w:val="24"/>
        </w:rPr>
        <w:t xml:space="preserve"> </w:t>
      </w:r>
      <w:r w:rsidRPr="00C66EBD">
        <w:rPr>
          <w:sz w:val="24"/>
          <w:szCs w:val="24"/>
        </w:rPr>
        <w:t xml:space="preserve">with emissions that exceed </w:t>
      </w:r>
      <w:r w:rsidR="00031F97" w:rsidRPr="00C66EBD">
        <w:rPr>
          <w:sz w:val="24"/>
          <w:szCs w:val="24"/>
        </w:rPr>
        <w:t xml:space="preserve">100 (and </w:t>
      </w:r>
      <w:r w:rsidRPr="00C66EBD">
        <w:rPr>
          <w:sz w:val="24"/>
          <w:szCs w:val="24"/>
        </w:rPr>
        <w:t>250</w:t>
      </w:r>
      <w:r w:rsidR="00031F97" w:rsidRPr="00C66EBD">
        <w:rPr>
          <w:sz w:val="24"/>
          <w:szCs w:val="24"/>
        </w:rPr>
        <w:t>)</w:t>
      </w:r>
      <w:r w:rsidRPr="00C66EBD">
        <w:rPr>
          <w:sz w:val="24"/>
          <w:szCs w:val="24"/>
        </w:rPr>
        <w:t xml:space="preserve"> tons per year</w:t>
      </w:r>
      <w:r w:rsidR="002B426F" w:rsidRPr="00C66EBD">
        <w:rPr>
          <w:sz w:val="24"/>
          <w:szCs w:val="24"/>
        </w:rPr>
        <w:t xml:space="preserve"> for a criteria pollutant</w:t>
      </w:r>
      <w:r w:rsidRPr="00C66EBD">
        <w:rPr>
          <w:sz w:val="24"/>
          <w:szCs w:val="24"/>
        </w:rPr>
        <w:t xml:space="preserve">.  Since emissions </w:t>
      </w:r>
      <w:r w:rsidR="002B426F" w:rsidRPr="00C66EBD">
        <w:rPr>
          <w:sz w:val="24"/>
          <w:szCs w:val="24"/>
        </w:rPr>
        <w:t xml:space="preserve">do </w:t>
      </w:r>
      <w:r w:rsidRPr="00C66EBD">
        <w:rPr>
          <w:sz w:val="24"/>
          <w:szCs w:val="24"/>
        </w:rPr>
        <w:t>exceed the PSD threshold</w:t>
      </w:r>
      <w:r w:rsidR="002B426F" w:rsidRPr="00C66EBD">
        <w:rPr>
          <w:sz w:val="24"/>
          <w:szCs w:val="24"/>
        </w:rPr>
        <w:t>s</w:t>
      </w:r>
      <w:r w:rsidRPr="00C66EBD">
        <w:rPr>
          <w:sz w:val="24"/>
          <w:szCs w:val="24"/>
        </w:rPr>
        <w:t xml:space="preserve">, the facility is classified as </w:t>
      </w:r>
      <w:r w:rsidR="002B426F" w:rsidRPr="00C66EBD">
        <w:rPr>
          <w:sz w:val="24"/>
          <w:szCs w:val="24"/>
        </w:rPr>
        <w:t>a</w:t>
      </w:r>
      <w:r w:rsidR="005E47E8" w:rsidRPr="00C66EBD">
        <w:rPr>
          <w:sz w:val="24"/>
          <w:szCs w:val="24"/>
        </w:rPr>
        <w:t xml:space="preserve"> major PSD source; however, the facility is proposing no modifications at this time</w:t>
      </w:r>
      <w:r w:rsidR="006E5ACC" w:rsidRPr="00C66EBD">
        <w:rPr>
          <w:sz w:val="24"/>
          <w:szCs w:val="24"/>
        </w:rPr>
        <w:t>.</w:t>
      </w:r>
    </w:p>
    <w:p w:rsidR="00521636" w:rsidRPr="00C66EBD" w:rsidRDefault="00521636" w:rsidP="00C66EBD">
      <w:pPr>
        <w:widowControl w:val="0"/>
        <w:jc w:val="both"/>
        <w:rPr>
          <w:sz w:val="24"/>
          <w:szCs w:val="24"/>
        </w:rPr>
      </w:pPr>
    </w:p>
    <w:bookmarkEnd w:id="1"/>
    <w:p w:rsidR="00EA62DB" w:rsidRDefault="00EA62DB" w:rsidP="00C66EBD">
      <w:pPr>
        <w:widowControl w:val="0"/>
        <w:spacing w:line="360" w:lineRule="auto"/>
        <w:rPr>
          <w:sz w:val="24"/>
          <w:szCs w:val="24"/>
          <w:u w:val="single"/>
        </w:rPr>
      </w:pPr>
      <w:r>
        <w:rPr>
          <w:sz w:val="24"/>
          <w:szCs w:val="24"/>
          <w:u w:val="single"/>
        </w:rPr>
        <w:t>REVISIONS TO DRAFT PERMIT SIN</w:t>
      </w:r>
      <w:r w:rsidR="0006651A">
        <w:rPr>
          <w:sz w:val="24"/>
          <w:szCs w:val="24"/>
          <w:u w:val="single"/>
        </w:rPr>
        <w:t xml:space="preserve">CE PREVIOUS PUBLIC NOTICE </w:t>
      </w:r>
    </w:p>
    <w:p w:rsidR="009050B1" w:rsidRDefault="00773890" w:rsidP="00FC5656">
      <w:pPr>
        <w:adjustRightInd w:val="0"/>
        <w:rPr>
          <w:color w:val="000000"/>
          <w:sz w:val="24"/>
          <w:szCs w:val="24"/>
        </w:rPr>
      </w:pPr>
      <w:r>
        <w:rPr>
          <w:color w:val="000000"/>
          <w:sz w:val="24"/>
          <w:szCs w:val="24"/>
        </w:rPr>
        <w:t xml:space="preserve">The previous draft permit </w:t>
      </w:r>
      <w:r w:rsidR="009050B1" w:rsidRPr="00773890">
        <w:rPr>
          <w:color w:val="000000"/>
          <w:sz w:val="24"/>
          <w:szCs w:val="24"/>
        </w:rPr>
        <w:t>contained language requiring compliance with the Clean Air Interstate Rule</w:t>
      </w:r>
      <w:r>
        <w:rPr>
          <w:color w:val="000000"/>
          <w:sz w:val="24"/>
          <w:szCs w:val="24"/>
        </w:rPr>
        <w:t xml:space="preserve"> (CAIR)</w:t>
      </w:r>
      <w:r w:rsidR="009050B1" w:rsidRPr="00773890">
        <w:rPr>
          <w:color w:val="000000"/>
          <w:sz w:val="24"/>
          <w:szCs w:val="24"/>
        </w:rPr>
        <w:t xml:space="preserve"> since that rule was in effe</w:t>
      </w:r>
      <w:r>
        <w:rPr>
          <w:color w:val="000000"/>
          <w:sz w:val="24"/>
          <w:szCs w:val="24"/>
        </w:rPr>
        <w:t xml:space="preserve">ct at that time. </w:t>
      </w:r>
      <w:r w:rsidR="009050B1" w:rsidRPr="00773890">
        <w:rPr>
          <w:color w:val="000000"/>
          <w:sz w:val="24"/>
          <w:szCs w:val="24"/>
        </w:rPr>
        <w:t>CAIR is no longer in effect</w:t>
      </w:r>
      <w:r>
        <w:rPr>
          <w:color w:val="000000"/>
          <w:sz w:val="24"/>
          <w:szCs w:val="24"/>
        </w:rPr>
        <w:t>. For Emission Points AA-001 through AA-005, t</w:t>
      </w:r>
      <w:r w:rsidR="009050B1" w:rsidRPr="00773890">
        <w:rPr>
          <w:color w:val="000000"/>
          <w:sz w:val="24"/>
          <w:szCs w:val="24"/>
        </w:rPr>
        <w:t>he permittee will be required to comply with the provisions of the Cross State Air Poll</w:t>
      </w:r>
      <w:r>
        <w:rPr>
          <w:color w:val="000000"/>
          <w:sz w:val="24"/>
          <w:szCs w:val="24"/>
        </w:rPr>
        <w:t>ution Rule (</w:t>
      </w:r>
      <w:r w:rsidR="009050B1" w:rsidRPr="00773890">
        <w:rPr>
          <w:color w:val="000000"/>
          <w:sz w:val="24"/>
          <w:szCs w:val="24"/>
        </w:rPr>
        <w:t>CSAPR</w:t>
      </w:r>
      <w:r>
        <w:rPr>
          <w:color w:val="000000"/>
          <w:sz w:val="24"/>
          <w:szCs w:val="24"/>
        </w:rPr>
        <w:t>)</w:t>
      </w:r>
      <w:r w:rsidR="009050B1" w:rsidRPr="00773890">
        <w:rPr>
          <w:color w:val="000000"/>
          <w:sz w:val="24"/>
          <w:szCs w:val="24"/>
        </w:rPr>
        <w:t xml:space="preserve"> as set forth 40 CFR 97 Subpart BBBBB - TR NOx</w:t>
      </w:r>
      <w:r w:rsidR="00FC5656">
        <w:rPr>
          <w:color w:val="000000"/>
          <w:sz w:val="24"/>
          <w:szCs w:val="24"/>
        </w:rPr>
        <w:t xml:space="preserve"> Ozone Season Trading Program.</w:t>
      </w:r>
    </w:p>
    <w:p w:rsidR="00FC5656" w:rsidRPr="00FC5656" w:rsidRDefault="00FC5656" w:rsidP="00FC5656"/>
    <w:p w:rsidR="003C087D" w:rsidRDefault="009050B1" w:rsidP="00654BF1">
      <w:pPr>
        <w:widowControl w:val="0"/>
        <w:rPr>
          <w:sz w:val="24"/>
          <w:szCs w:val="24"/>
        </w:rPr>
      </w:pPr>
      <w:r>
        <w:rPr>
          <w:sz w:val="24"/>
          <w:szCs w:val="24"/>
        </w:rPr>
        <w:t xml:space="preserve">In response to comments received from EPA Region IV on December 1, 2014, the MDEQ has revised Section 1 of the draft permit to include a permit condition specifying the conditions under which a permit will be reopened, according to the provisions at 11 Miss. Admin. Code Pt. 2, R.6.4.G.  Condition 1.4 in Section 1 was added to the draft permit. This comment is applicable to all Mississippi Title V permits; therefore, all Mississippi Title V air permit will include this reopener language. </w:t>
      </w:r>
    </w:p>
    <w:p w:rsidR="00304FBA" w:rsidRPr="00FC5656" w:rsidRDefault="00304FBA" w:rsidP="00FC5656"/>
    <w:p w:rsidR="00521636" w:rsidRPr="00FC5656" w:rsidRDefault="00742900" w:rsidP="00C66EBD">
      <w:pPr>
        <w:widowControl w:val="0"/>
        <w:spacing w:line="360" w:lineRule="auto"/>
        <w:rPr>
          <w:sz w:val="24"/>
          <w:szCs w:val="24"/>
          <w:u w:val="single"/>
        </w:rPr>
      </w:pPr>
      <w:r w:rsidRPr="00FC5656">
        <w:rPr>
          <w:sz w:val="24"/>
          <w:szCs w:val="24"/>
          <w:u w:val="single"/>
        </w:rPr>
        <w:t>TITLE V PROGRAM APPLICABILITY BASIS</w:t>
      </w:r>
    </w:p>
    <w:p w:rsidR="00521636" w:rsidRPr="00C66EBD" w:rsidRDefault="00742900" w:rsidP="00C66EBD">
      <w:pPr>
        <w:widowControl w:val="0"/>
        <w:jc w:val="both"/>
        <w:rPr>
          <w:sz w:val="24"/>
          <w:szCs w:val="24"/>
        </w:rPr>
      </w:pPr>
      <w:r w:rsidRPr="00C66EBD">
        <w:rPr>
          <w:sz w:val="24"/>
          <w:szCs w:val="24"/>
        </w:rPr>
        <w:t>The facility’s potential</w:t>
      </w:r>
      <w:r w:rsidR="00410F66">
        <w:rPr>
          <w:sz w:val="24"/>
          <w:szCs w:val="24"/>
        </w:rPr>
        <w:t xml:space="preserve"> </w:t>
      </w:r>
      <w:r w:rsidRPr="00C66EBD">
        <w:rPr>
          <w:sz w:val="24"/>
          <w:szCs w:val="24"/>
        </w:rPr>
        <w:t>to</w:t>
      </w:r>
      <w:r w:rsidR="00410F66">
        <w:rPr>
          <w:sz w:val="24"/>
          <w:szCs w:val="24"/>
        </w:rPr>
        <w:t xml:space="preserve"> </w:t>
      </w:r>
      <w:r w:rsidRPr="00C66EBD">
        <w:rPr>
          <w:sz w:val="24"/>
          <w:szCs w:val="24"/>
        </w:rPr>
        <w:t xml:space="preserve">emit exceeds the Title V threshold limits of 100 tons per year (TPY) for </w:t>
      </w:r>
      <w:r w:rsidR="006E5ACC" w:rsidRPr="00C66EBD">
        <w:rPr>
          <w:sz w:val="24"/>
          <w:szCs w:val="24"/>
        </w:rPr>
        <w:t>Particulate Matter (PM), Sulfur Dioxide (SO</w:t>
      </w:r>
      <w:r w:rsidR="006E5ACC" w:rsidRPr="00C66EBD">
        <w:rPr>
          <w:sz w:val="24"/>
          <w:szCs w:val="24"/>
          <w:vertAlign w:val="subscript"/>
        </w:rPr>
        <w:t>2</w:t>
      </w:r>
      <w:r w:rsidR="006E5ACC" w:rsidRPr="00C66EBD">
        <w:rPr>
          <w:sz w:val="24"/>
          <w:szCs w:val="24"/>
        </w:rPr>
        <w:t xml:space="preserve">), </w:t>
      </w:r>
      <w:r w:rsidRPr="00C66EBD">
        <w:rPr>
          <w:sz w:val="24"/>
          <w:szCs w:val="24"/>
        </w:rPr>
        <w:t>Nitrogen Oxides (NO</w:t>
      </w:r>
      <w:r w:rsidRPr="00C66EBD">
        <w:rPr>
          <w:sz w:val="24"/>
          <w:szCs w:val="24"/>
          <w:vertAlign w:val="subscript"/>
        </w:rPr>
        <w:t>X</w:t>
      </w:r>
      <w:r w:rsidRPr="00C66EBD">
        <w:rPr>
          <w:sz w:val="24"/>
          <w:szCs w:val="24"/>
        </w:rPr>
        <w:t>)</w:t>
      </w:r>
      <w:r w:rsidR="006E5ACC" w:rsidRPr="00C66EBD">
        <w:rPr>
          <w:sz w:val="24"/>
          <w:szCs w:val="24"/>
        </w:rPr>
        <w:t xml:space="preserve">, </w:t>
      </w:r>
      <w:r w:rsidRPr="00C66EBD">
        <w:rPr>
          <w:sz w:val="24"/>
          <w:szCs w:val="24"/>
        </w:rPr>
        <w:t>and Carbon Monoxide (CO).</w:t>
      </w:r>
    </w:p>
    <w:p w:rsidR="00C21C18" w:rsidRPr="00C66EBD" w:rsidRDefault="00C21C18" w:rsidP="00C66EBD">
      <w:pPr>
        <w:widowControl w:val="0"/>
        <w:jc w:val="both"/>
        <w:rPr>
          <w:sz w:val="24"/>
          <w:szCs w:val="24"/>
        </w:rPr>
      </w:pPr>
    </w:p>
    <w:p w:rsidR="00521636" w:rsidRPr="00C66EBD" w:rsidRDefault="00742900" w:rsidP="00C66EBD">
      <w:pPr>
        <w:widowControl w:val="0"/>
        <w:spacing w:line="360" w:lineRule="auto"/>
        <w:rPr>
          <w:sz w:val="24"/>
          <w:szCs w:val="24"/>
        </w:rPr>
      </w:pPr>
      <w:r w:rsidRPr="00C66EBD">
        <w:rPr>
          <w:sz w:val="24"/>
          <w:szCs w:val="24"/>
          <w:u w:val="single"/>
        </w:rPr>
        <w:t>LEGAL AND FACTUAL BASIS FOR DRAFT PERMIT CONDITIONS</w:t>
      </w:r>
    </w:p>
    <w:p w:rsidR="00C21C18" w:rsidRPr="00C66EBD" w:rsidRDefault="00C21C18" w:rsidP="00C66EBD">
      <w:pPr>
        <w:widowControl w:val="0"/>
        <w:jc w:val="both"/>
        <w:rPr>
          <w:sz w:val="24"/>
          <w:szCs w:val="24"/>
        </w:rPr>
      </w:pPr>
      <w:r w:rsidRPr="00C66EBD">
        <w:rPr>
          <w:sz w:val="24"/>
          <w:szCs w:val="24"/>
        </w:rPr>
        <w:t>The State and Federally-enforceable conditions of Title V Operating Permits are based upon the requirements of the State of Mississippi Air Emissions Operating Permit Regulations for the Purposes of Title V of the Federal Clean Air Act (11 Miss. Admin. Code Pt. 2, Ch. 6.), and applicable requirements effective upon the date of permit issuance.  Applicable requirement means all of the following as they apply to emissions units in a Title V source:</w:t>
      </w:r>
    </w:p>
    <w:p w:rsidR="00C21C18" w:rsidRPr="00C66EBD" w:rsidRDefault="00C21C18" w:rsidP="00C66EBD">
      <w:pPr>
        <w:widowControl w:val="0"/>
        <w:jc w:val="both"/>
        <w:rPr>
          <w:sz w:val="24"/>
          <w:szCs w:val="24"/>
        </w:rPr>
      </w:pPr>
    </w:p>
    <w:p w:rsidR="00C21C18" w:rsidRPr="00C66EBD" w:rsidRDefault="00C21C18" w:rsidP="00C66EBD">
      <w:pPr>
        <w:pStyle w:val="1"/>
        <w:widowControl w:val="0"/>
        <w:ind w:left="600" w:hanging="600"/>
        <w:jc w:val="both"/>
        <w:rPr>
          <w:rFonts w:ascii="Times New Roman" w:hAnsi="Times New Roman" w:cs="Times New Roman"/>
        </w:rPr>
      </w:pPr>
      <w:r w:rsidRPr="00C66EBD">
        <w:rPr>
          <w:rFonts w:ascii="Times New Roman" w:hAnsi="Times New Roman" w:cs="Times New Roman"/>
        </w:rPr>
        <w:t>1.</w:t>
      </w:r>
      <w:r w:rsidRPr="00C66EBD">
        <w:rPr>
          <w:rFonts w:ascii="Times New Roman" w:hAnsi="Times New Roman" w:cs="Times New Roman"/>
        </w:rPr>
        <w:tab/>
        <w:t>any standard or other requirement set forth in the State Implementation Plan (SIP) approved or promulgated by EPA through rulemaking under Title I of the Federal Clean Air Act (Federal Act) including the following:</w:t>
      </w:r>
    </w:p>
    <w:p w:rsidR="00C21C18" w:rsidRPr="00C66EBD" w:rsidRDefault="00C21C18" w:rsidP="00C66EBD">
      <w:pPr>
        <w:widowControl w:val="0"/>
        <w:jc w:val="both"/>
        <w:rPr>
          <w:sz w:val="24"/>
          <w:szCs w:val="24"/>
        </w:rPr>
      </w:pPr>
    </w:p>
    <w:p w:rsidR="00C21C18" w:rsidRPr="00C66EBD" w:rsidRDefault="00C21C18" w:rsidP="00C66EBD">
      <w:pPr>
        <w:widowControl w:val="0"/>
        <w:tabs>
          <w:tab w:val="left" w:pos="720"/>
        </w:tabs>
        <w:ind w:left="1200" w:hanging="600"/>
        <w:jc w:val="both"/>
        <w:rPr>
          <w:sz w:val="24"/>
          <w:szCs w:val="24"/>
        </w:rPr>
      </w:pPr>
      <w:r w:rsidRPr="00C66EBD">
        <w:rPr>
          <w:sz w:val="24"/>
          <w:szCs w:val="24"/>
        </w:rPr>
        <w:t>a.</w:t>
      </w:r>
      <w:r w:rsidRPr="00C66EBD">
        <w:rPr>
          <w:sz w:val="24"/>
          <w:szCs w:val="24"/>
        </w:rPr>
        <w:tab/>
        <w:t xml:space="preserve">most of the State of Mississippi Air Emission Regulations for the Prevention, Abatement, and Control of Air Contaminants (11 Miss. Admin. Code Pt. 2, Ch. 1.) </w:t>
      </w:r>
    </w:p>
    <w:p w:rsidR="00C21C18" w:rsidRPr="00C66EBD" w:rsidRDefault="00C21C18" w:rsidP="00C66EBD">
      <w:pPr>
        <w:widowControl w:val="0"/>
        <w:tabs>
          <w:tab w:val="left" w:pos="720"/>
        </w:tabs>
        <w:ind w:left="1200" w:hanging="600"/>
        <w:jc w:val="both"/>
        <w:rPr>
          <w:sz w:val="24"/>
          <w:szCs w:val="24"/>
        </w:rPr>
      </w:pPr>
      <w:r w:rsidRPr="00C66EBD">
        <w:rPr>
          <w:sz w:val="24"/>
          <w:szCs w:val="24"/>
        </w:rPr>
        <w:t>b.</w:t>
      </w:r>
      <w:r w:rsidRPr="00C66EBD">
        <w:rPr>
          <w:sz w:val="24"/>
          <w:szCs w:val="24"/>
        </w:rPr>
        <w:tab/>
        <w:t>the State of Mississippi Regulations for the Prevention of Air Pollution Emergency Episodes (11 Miss. Admin. Code Pt. 2, Ch. 3.),</w:t>
      </w:r>
    </w:p>
    <w:p w:rsidR="00C21C18" w:rsidRPr="00C66EBD" w:rsidRDefault="00C21C18" w:rsidP="00C66EBD">
      <w:pPr>
        <w:widowControl w:val="0"/>
        <w:tabs>
          <w:tab w:val="left" w:pos="720"/>
        </w:tabs>
        <w:ind w:left="1200" w:hanging="600"/>
        <w:jc w:val="both"/>
        <w:rPr>
          <w:sz w:val="24"/>
          <w:szCs w:val="24"/>
        </w:rPr>
      </w:pPr>
      <w:r w:rsidRPr="00C66EBD">
        <w:rPr>
          <w:sz w:val="24"/>
          <w:szCs w:val="24"/>
        </w:rPr>
        <w:t>c.</w:t>
      </w:r>
      <w:r w:rsidRPr="00C66EBD">
        <w:rPr>
          <w:sz w:val="24"/>
          <w:szCs w:val="24"/>
        </w:rPr>
        <w:tab/>
        <w:t>the State of Mississippi Regulations for the Prevention of Significant Deterioration of Air Quality (11 Miss. Admin. Code Pt. 2, Ch. 5.), and 40 CFR Part 52.21 by reference, and</w:t>
      </w:r>
    </w:p>
    <w:p w:rsidR="00C21C18" w:rsidRPr="00C66EBD" w:rsidRDefault="00C21C18" w:rsidP="00C66EBD">
      <w:pPr>
        <w:widowControl w:val="0"/>
        <w:tabs>
          <w:tab w:val="left" w:pos="720"/>
        </w:tabs>
        <w:ind w:left="1200" w:hanging="600"/>
        <w:jc w:val="both"/>
        <w:rPr>
          <w:sz w:val="24"/>
          <w:szCs w:val="24"/>
        </w:rPr>
      </w:pPr>
      <w:r w:rsidRPr="00C66EBD">
        <w:rPr>
          <w:sz w:val="24"/>
          <w:szCs w:val="24"/>
        </w:rPr>
        <w:t>d.</w:t>
      </w:r>
      <w:r w:rsidRPr="00C66EBD">
        <w:rPr>
          <w:sz w:val="24"/>
          <w:szCs w:val="24"/>
        </w:rPr>
        <w:tab/>
        <w:t xml:space="preserve">the provisions of the State of Mississippi Permit Regulations for the Construction and/or Operation of Air Emissions Equipment (11 Miss. Admin. Code Pt. 2, Ch. 2.), </w:t>
      </w:r>
      <w:r w:rsidRPr="00C66EBD">
        <w:rPr>
          <w:sz w:val="24"/>
          <w:szCs w:val="24"/>
        </w:rPr>
        <w:lastRenderedPageBreak/>
        <w:t>relating to construction permits and synthetic minor operating permits;</w:t>
      </w:r>
    </w:p>
    <w:p w:rsidR="00C21C18" w:rsidRPr="00C66EBD" w:rsidRDefault="00C21C18" w:rsidP="00C66EBD">
      <w:pPr>
        <w:widowControl w:val="0"/>
        <w:jc w:val="both"/>
        <w:rPr>
          <w:sz w:val="24"/>
          <w:szCs w:val="24"/>
        </w:rPr>
      </w:pPr>
    </w:p>
    <w:p w:rsidR="00C21C18" w:rsidRPr="00C66EBD" w:rsidRDefault="00C21C18" w:rsidP="00C66EBD">
      <w:pPr>
        <w:pStyle w:val="1"/>
        <w:widowControl w:val="0"/>
        <w:ind w:left="600" w:hanging="600"/>
        <w:jc w:val="both"/>
        <w:rPr>
          <w:rFonts w:ascii="Times New Roman" w:hAnsi="Times New Roman" w:cs="Times New Roman"/>
        </w:rPr>
      </w:pPr>
      <w:r w:rsidRPr="00C66EBD">
        <w:rPr>
          <w:rFonts w:ascii="Times New Roman" w:hAnsi="Times New Roman" w:cs="Times New Roman"/>
        </w:rPr>
        <w:t>2.</w:t>
      </w:r>
      <w:r w:rsidRPr="00C66EBD">
        <w:rPr>
          <w:rFonts w:ascii="Times New Roman" w:hAnsi="Times New Roman" w:cs="Times New Roman"/>
        </w:rPr>
        <w:tab/>
        <w:t>any term or condition of any construction permits issued pursuant to Mississippi regulations approved or promulgated through rulemaking under Title I;</w:t>
      </w:r>
    </w:p>
    <w:p w:rsidR="00C21C18" w:rsidRPr="00C66EBD" w:rsidRDefault="00C21C18" w:rsidP="00C66EBD">
      <w:pPr>
        <w:widowControl w:val="0"/>
        <w:jc w:val="both"/>
        <w:rPr>
          <w:sz w:val="24"/>
          <w:szCs w:val="24"/>
        </w:rPr>
      </w:pPr>
    </w:p>
    <w:p w:rsidR="00C21C18" w:rsidRPr="00C66EBD" w:rsidRDefault="00C21C18" w:rsidP="00C66EBD">
      <w:pPr>
        <w:pStyle w:val="1"/>
        <w:widowControl w:val="0"/>
        <w:ind w:left="600" w:hanging="600"/>
        <w:jc w:val="both"/>
        <w:rPr>
          <w:rFonts w:ascii="Times New Roman" w:hAnsi="Times New Roman" w:cs="Times New Roman"/>
        </w:rPr>
      </w:pPr>
      <w:r w:rsidRPr="00C66EBD">
        <w:rPr>
          <w:rFonts w:ascii="Times New Roman" w:hAnsi="Times New Roman" w:cs="Times New Roman"/>
        </w:rPr>
        <w:t>3.</w:t>
      </w:r>
      <w:r w:rsidRPr="00C66EBD">
        <w:rPr>
          <w:rFonts w:ascii="Times New Roman" w:hAnsi="Times New Roman" w:cs="Times New Roman"/>
        </w:rPr>
        <w:tab/>
        <w:t xml:space="preserve">any standard or other requirement under Section 111 of the Federal Act, including Section 111(d) which includes Title 40, Part 60 of the Code of Federal Regulations (40 CFR Part 60) and relevant sections of </w:t>
      </w:r>
      <w:r w:rsidRPr="00C66EBD">
        <w:t>11 Miss. Admin. Code Pt. 2, Ch. 1.</w:t>
      </w:r>
      <w:r w:rsidRPr="00C66EBD">
        <w:rPr>
          <w:rFonts w:ascii="Times New Roman" w:hAnsi="Times New Roman" w:cs="Times New Roman"/>
        </w:rPr>
        <w:t>;</w:t>
      </w:r>
    </w:p>
    <w:p w:rsidR="00C21C18" w:rsidRPr="00C66EBD" w:rsidRDefault="00C21C18" w:rsidP="00C66EBD">
      <w:pPr>
        <w:widowControl w:val="0"/>
        <w:jc w:val="both"/>
        <w:rPr>
          <w:sz w:val="24"/>
          <w:szCs w:val="24"/>
        </w:rPr>
      </w:pPr>
    </w:p>
    <w:p w:rsidR="00C21C18" w:rsidRPr="00C66EBD" w:rsidRDefault="00C21C18" w:rsidP="00C66EBD">
      <w:pPr>
        <w:pStyle w:val="1"/>
        <w:widowControl w:val="0"/>
        <w:ind w:left="600" w:hanging="600"/>
        <w:jc w:val="both"/>
        <w:rPr>
          <w:rFonts w:ascii="Times New Roman" w:hAnsi="Times New Roman" w:cs="Times New Roman"/>
        </w:rPr>
      </w:pPr>
      <w:r w:rsidRPr="00C66EBD">
        <w:rPr>
          <w:rFonts w:ascii="Times New Roman" w:hAnsi="Times New Roman" w:cs="Times New Roman"/>
        </w:rPr>
        <w:t>4.</w:t>
      </w:r>
      <w:r w:rsidRPr="00C66EBD">
        <w:rPr>
          <w:rFonts w:ascii="Times New Roman" w:hAnsi="Times New Roman" w:cs="Times New Roman"/>
        </w:rPr>
        <w:tab/>
        <w:t xml:space="preserve">any standard or other requirement under Section 112 of the Federal Act, including relevant sections of </w:t>
      </w:r>
      <w:r w:rsidRPr="00C66EBD">
        <w:t>11 Miss. Admin. Code Pt. 2, Ch. 1.</w:t>
      </w:r>
      <w:r w:rsidRPr="00C66EBD">
        <w:rPr>
          <w:rFonts w:ascii="Times New Roman" w:hAnsi="Times New Roman" w:cs="Times New Roman"/>
        </w:rPr>
        <w:t>and 40 CFR Parts 61, 63, and 68;</w:t>
      </w:r>
    </w:p>
    <w:p w:rsidR="00C21C18" w:rsidRPr="00C66EBD" w:rsidRDefault="00C21C18" w:rsidP="00C66EBD">
      <w:pPr>
        <w:widowControl w:val="0"/>
        <w:jc w:val="both"/>
        <w:rPr>
          <w:sz w:val="24"/>
          <w:szCs w:val="24"/>
        </w:rPr>
      </w:pPr>
    </w:p>
    <w:p w:rsidR="00C21C18" w:rsidRPr="00C66EBD" w:rsidRDefault="00C21C18" w:rsidP="00C66EBD">
      <w:pPr>
        <w:pStyle w:val="1"/>
        <w:widowControl w:val="0"/>
        <w:ind w:left="600" w:hanging="600"/>
        <w:jc w:val="both"/>
        <w:rPr>
          <w:rFonts w:ascii="Times New Roman" w:hAnsi="Times New Roman" w:cs="Times New Roman"/>
        </w:rPr>
      </w:pPr>
      <w:r w:rsidRPr="00C66EBD">
        <w:rPr>
          <w:rFonts w:ascii="Times New Roman" w:hAnsi="Times New Roman" w:cs="Times New Roman"/>
        </w:rPr>
        <w:t>5.</w:t>
      </w:r>
      <w:r w:rsidRPr="00C66EBD">
        <w:rPr>
          <w:rFonts w:ascii="Times New Roman" w:hAnsi="Times New Roman" w:cs="Times New Roman"/>
        </w:rPr>
        <w:tab/>
        <w:t>any standard or other requirement of the acid rain program under Title IV of the Federal Act or the regulations promulgated thereunder, including the State of Mississippi Acid Rain Program Permit Regulations for Purposes of Title IV of the Federal Clean Air Act (</w:t>
      </w:r>
      <w:r w:rsidRPr="00C66EBD">
        <w:t>11 Miss. Admin. Code Pt. 2, Ch. 7.</w:t>
      </w:r>
      <w:r w:rsidRPr="00C66EBD">
        <w:rPr>
          <w:rFonts w:ascii="Times New Roman" w:hAnsi="Times New Roman" w:cs="Times New Roman"/>
        </w:rPr>
        <w:t>)  adopted November 17, 1994, and 40 CFR Parts 72, 73, 75, 77, and 78;</w:t>
      </w:r>
    </w:p>
    <w:p w:rsidR="00C21C18" w:rsidRPr="00C66EBD" w:rsidRDefault="00C21C18" w:rsidP="00C66EBD">
      <w:pPr>
        <w:widowControl w:val="0"/>
        <w:jc w:val="both"/>
        <w:rPr>
          <w:sz w:val="24"/>
          <w:szCs w:val="24"/>
        </w:rPr>
      </w:pPr>
    </w:p>
    <w:p w:rsidR="00C21C18" w:rsidRPr="00C66EBD" w:rsidRDefault="00C21C18" w:rsidP="00C66EBD">
      <w:pPr>
        <w:pStyle w:val="1"/>
        <w:widowControl w:val="0"/>
        <w:ind w:left="600" w:hanging="600"/>
        <w:jc w:val="both"/>
        <w:rPr>
          <w:rFonts w:ascii="Times New Roman" w:hAnsi="Times New Roman" w:cs="Times New Roman"/>
        </w:rPr>
      </w:pPr>
      <w:r w:rsidRPr="00C66EBD">
        <w:rPr>
          <w:rFonts w:ascii="Times New Roman" w:hAnsi="Times New Roman" w:cs="Times New Roman"/>
        </w:rPr>
        <w:t>6.</w:t>
      </w:r>
      <w:r w:rsidRPr="00C66EBD">
        <w:rPr>
          <w:rFonts w:ascii="Times New Roman" w:hAnsi="Times New Roman" w:cs="Times New Roman"/>
        </w:rPr>
        <w:tab/>
        <w:t>any requirements established pursuant to Section 504(b) or Section 114(a)(3) of the Federal Act;</w:t>
      </w:r>
    </w:p>
    <w:p w:rsidR="00C21C18" w:rsidRPr="00C66EBD" w:rsidRDefault="00C21C18" w:rsidP="00C66EBD">
      <w:pPr>
        <w:widowControl w:val="0"/>
        <w:jc w:val="both"/>
        <w:rPr>
          <w:sz w:val="24"/>
          <w:szCs w:val="24"/>
        </w:rPr>
      </w:pPr>
    </w:p>
    <w:p w:rsidR="00C21C18" w:rsidRPr="00C66EBD" w:rsidRDefault="00C21C18" w:rsidP="00C66EBD">
      <w:pPr>
        <w:pStyle w:val="1"/>
        <w:widowControl w:val="0"/>
        <w:ind w:left="600" w:hanging="600"/>
        <w:jc w:val="both"/>
        <w:rPr>
          <w:rFonts w:ascii="Times New Roman" w:hAnsi="Times New Roman" w:cs="Times New Roman"/>
        </w:rPr>
      </w:pPr>
      <w:r w:rsidRPr="00C66EBD">
        <w:rPr>
          <w:rFonts w:ascii="Times New Roman" w:hAnsi="Times New Roman" w:cs="Times New Roman"/>
        </w:rPr>
        <w:t>7.</w:t>
      </w:r>
      <w:r w:rsidRPr="00C66EBD">
        <w:rPr>
          <w:rFonts w:ascii="Times New Roman" w:hAnsi="Times New Roman" w:cs="Times New Roman"/>
        </w:rPr>
        <w:tab/>
        <w:t>any standard or other requirement governing solid waste incineration under Section 129 of the Federal Act;</w:t>
      </w:r>
    </w:p>
    <w:p w:rsidR="00C21C18" w:rsidRPr="00C66EBD" w:rsidRDefault="00C21C18" w:rsidP="00C66EBD">
      <w:pPr>
        <w:widowControl w:val="0"/>
        <w:jc w:val="both"/>
        <w:rPr>
          <w:sz w:val="24"/>
          <w:szCs w:val="24"/>
        </w:rPr>
      </w:pPr>
    </w:p>
    <w:p w:rsidR="00C21C18" w:rsidRPr="00C66EBD" w:rsidRDefault="00C21C18" w:rsidP="00C66EBD">
      <w:pPr>
        <w:pStyle w:val="1"/>
        <w:widowControl w:val="0"/>
        <w:ind w:left="600" w:hanging="600"/>
        <w:jc w:val="both"/>
        <w:rPr>
          <w:rFonts w:ascii="Times New Roman" w:hAnsi="Times New Roman" w:cs="Times New Roman"/>
        </w:rPr>
      </w:pPr>
      <w:r w:rsidRPr="00C66EBD">
        <w:rPr>
          <w:rFonts w:ascii="Times New Roman" w:hAnsi="Times New Roman" w:cs="Times New Roman"/>
        </w:rPr>
        <w:t>8.</w:t>
      </w:r>
      <w:r w:rsidRPr="00C66EBD">
        <w:rPr>
          <w:rFonts w:ascii="Times New Roman" w:hAnsi="Times New Roman" w:cs="Times New Roman"/>
        </w:rPr>
        <w:tab/>
        <w:t>any standard or other requirement for consumer and commercial products under Section 183(e) of the Federal Act;</w:t>
      </w:r>
    </w:p>
    <w:p w:rsidR="00C21C18" w:rsidRPr="00C66EBD" w:rsidRDefault="00C21C18" w:rsidP="00C66EBD">
      <w:pPr>
        <w:widowControl w:val="0"/>
        <w:jc w:val="both"/>
        <w:rPr>
          <w:sz w:val="24"/>
          <w:szCs w:val="24"/>
        </w:rPr>
      </w:pPr>
    </w:p>
    <w:p w:rsidR="00C21C18" w:rsidRPr="00C66EBD" w:rsidRDefault="00C21C18" w:rsidP="00C66EBD">
      <w:pPr>
        <w:pStyle w:val="1"/>
        <w:widowControl w:val="0"/>
        <w:ind w:left="600" w:hanging="600"/>
        <w:jc w:val="both"/>
        <w:rPr>
          <w:rFonts w:ascii="Times New Roman" w:hAnsi="Times New Roman" w:cs="Times New Roman"/>
        </w:rPr>
      </w:pPr>
      <w:r w:rsidRPr="00C66EBD">
        <w:rPr>
          <w:rFonts w:ascii="Times New Roman" w:hAnsi="Times New Roman" w:cs="Times New Roman"/>
        </w:rPr>
        <w:t>9.</w:t>
      </w:r>
      <w:r w:rsidRPr="00C66EBD">
        <w:rPr>
          <w:rFonts w:ascii="Times New Roman" w:hAnsi="Times New Roman" w:cs="Times New Roman"/>
        </w:rPr>
        <w:tab/>
        <w:t>any standard or other requirement for tank vessels under Section 183(f) of the Federal Act;</w:t>
      </w:r>
    </w:p>
    <w:p w:rsidR="00C21C18" w:rsidRPr="00C66EBD" w:rsidRDefault="00C21C18" w:rsidP="00C66EBD">
      <w:pPr>
        <w:widowControl w:val="0"/>
        <w:jc w:val="both"/>
        <w:rPr>
          <w:sz w:val="24"/>
          <w:szCs w:val="24"/>
        </w:rPr>
      </w:pPr>
    </w:p>
    <w:p w:rsidR="00C21C18" w:rsidRPr="00C66EBD" w:rsidRDefault="00C21C18" w:rsidP="00C66EBD">
      <w:pPr>
        <w:pStyle w:val="1"/>
        <w:widowControl w:val="0"/>
        <w:ind w:left="600" w:hanging="600"/>
        <w:jc w:val="both"/>
        <w:rPr>
          <w:rFonts w:ascii="Times New Roman" w:hAnsi="Times New Roman" w:cs="Times New Roman"/>
        </w:rPr>
      </w:pPr>
      <w:r w:rsidRPr="00C66EBD">
        <w:rPr>
          <w:rFonts w:ascii="Times New Roman" w:hAnsi="Times New Roman" w:cs="Times New Roman"/>
        </w:rPr>
        <w:t>10.</w:t>
      </w:r>
      <w:r w:rsidRPr="00C66EBD">
        <w:rPr>
          <w:rFonts w:ascii="Times New Roman" w:hAnsi="Times New Roman" w:cs="Times New Roman"/>
        </w:rPr>
        <w:tab/>
        <w:t>any standard or other requirement of the program to control air pollution from outer continental shelf sources under Section 328 of the Federal Act;</w:t>
      </w:r>
    </w:p>
    <w:p w:rsidR="00C21C18" w:rsidRPr="00C66EBD" w:rsidRDefault="00C21C18" w:rsidP="00C66EBD">
      <w:pPr>
        <w:widowControl w:val="0"/>
        <w:jc w:val="both"/>
        <w:rPr>
          <w:sz w:val="24"/>
          <w:szCs w:val="24"/>
        </w:rPr>
      </w:pPr>
    </w:p>
    <w:p w:rsidR="00C21C18" w:rsidRPr="00C66EBD" w:rsidRDefault="00C21C18" w:rsidP="00C66EBD">
      <w:pPr>
        <w:pStyle w:val="1"/>
        <w:widowControl w:val="0"/>
        <w:ind w:left="600" w:hanging="600"/>
        <w:jc w:val="both"/>
        <w:rPr>
          <w:rFonts w:ascii="Times New Roman" w:hAnsi="Times New Roman" w:cs="Times New Roman"/>
        </w:rPr>
      </w:pPr>
      <w:r w:rsidRPr="00C66EBD">
        <w:rPr>
          <w:rFonts w:ascii="Times New Roman" w:hAnsi="Times New Roman" w:cs="Times New Roman"/>
        </w:rPr>
        <w:t>11.</w:t>
      </w:r>
      <w:r w:rsidRPr="00C66EBD">
        <w:rPr>
          <w:rFonts w:ascii="Times New Roman" w:hAnsi="Times New Roman" w:cs="Times New Roman"/>
        </w:rPr>
        <w:tab/>
        <w:t>any standard or other requirement of the regulations promulgated to protect stratospheric ozone under Title VI of the Federal Act;</w:t>
      </w:r>
    </w:p>
    <w:p w:rsidR="00C21C18" w:rsidRPr="00C66EBD" w:rsidRDefault="00C21C18" w:rsidP="00C66EBD">
      <w:pPr>
        <w:widowControl w:val="0"/>
        <w:jc w:val="both"/>
        <w:rPr>
          <w:sz w:val="24"/>
          <w:szCs w:val="24"/>
        </w:rPr>
      </w:pPr>
    </w:p>
    <w:p w:rsidR="00C21C18" w:rsidRPr="00C66EBD" w:rsidRDefault="00C21C18" w:rsidP="00C66EBD">
      <w:pPr>
        <w:pStyle w:val="1"/>
        <w:widowControl w:val="0"/>
        <w:ind w:left="600" w:hanging="600"/>
        <w:jc w:val="both"/>
        <w:rPr>
          <w:rFonts w:ascii="Times New Roman" w:hAnsi="Times New Roman" w:cs="Times New Roman"/>
        </w:rPr>
      </w:pPr>
      <w:r w:rsidRPr="00C66EBD">
        <w:rPr>
          <w:rFonts w:ascii="Times New Roman" w:hAnsi="Times New Roman" w:cs="Times New Roman"/>
        </w:rPr>
        <w:t>12.</w:t>
      </w:r>
      <w:r w:rsidRPr="00C66EBD">
        <w:rPr>
          <w:rFonts w:ascii="Times New Roman" w:hAnsi="Times New Roman" w:cs="Times New Roman"/>
        </w:rPr>
        <w:tab/>
        <w:t>any national ambient air quality standard or increment or visibility requirement under part C of Title I of the Federal Act.</w:t>
      </w:r>
    </w:p>
    <w:p w:rsidR="00C21C18" w:rsidRPr="00C66EBD" w:rsidRDefault="00C21C18" w:rsidP="00C66EBD">
      <w:pPr>
        <w:widowControl w:val="0"/>
        <w:jc w:val="both"/>
        <w:rPr>
          <w:sz w:val="24"/>
          <w:szCs w:val="24"/>
        </w:rPr>
      </w:pPr>
    </w:p>
    <w:p w:rsidR="00521636" w:rsidRDefault="00C21C18" w:rsidP="00C66EBD">
      <w:pPr>
        <w:pStyle w:val="BodyText"/>
        <w:spacing w:after="0"/>
        <w:jc w:val="both"/>
      </w:pPr>
      <w:r w:rsidRPr="00C66EBD">
        <w:t>Each State and Federally-enforceable condition of the draft Title V Operating Permit references the specific relevant requirements of 11 Miss. Admin. Code Pt. 2, Ch. 6.</w:t>
      </w:r>
      <w:r w:rsidR="00410F66">
        <w:t xml:space="preserve"> </w:t>
      </w:r>
      <w:r w:rsidRPr="00C66EBD">
        <w:t>or the applicable requirement upon which it is based. Any condition of the draft Title V permit that is enforceable by the State but is not Federally-enforceable is identified in the draft Title V permit as such.</w:t>
      </w:r>
    </w:p>
    <w:p w:rsidR="00FC5656" w:rsidRDefault="00FC5656" w:rsidP="00C66EBD">
      <w:pPr>
        <w:pStyle w:val="BodyText"/>
        <w:spacing w:after="0"/>
        <w:jc w:val="both"/>
      </w:pPr>
    </w:p>
    <w:p w:rsidR="00FC5656" w:rsidRDefault="00FC5656" w:rsidP="00C66EBD">
      <w:pPr>
        <w:pStyle w:val="BodyText"/>
        <w:spacing w:after="0"/>
        <w:jc w:val="both"/>
      </w:pPr>
    </w:p>
    <w:p w:rsidR="00FC5656" w:rsidRDefault="00FC5656" w:rsidP="00C66EBD">
      <w:pPr>
        <w:pStyle w:val="BodyText"/>
        <w:spacing w:after="0"/>
        <w:jc w:val="both"/>
      </w:pPr>
    </w:p>
    <w:p w:rsidR="00FC5656" w:rsidRDefault="00FC5656" w:rsidP="00C66EBD">
      <w:pPr>
        <w:pStyle w:val="BodyText"/>
        <w:spacing w:after="0"/>
        <w:jc w:val="both"/>
      </w:pPr>
    </w:p>
    <w:p w:rsidR="00FC5656" w:rsidRPr="00C66EBD" w:rsidRDefault="00FC5656" w:rsidP="00C66EBD">
      <w:pPr>
        <w:pStyle w:val="BodyText"/>
        <w:spacing w:after="0"/>
        <w:jc w:val="both"/>
      </w:pPr>
    </w:p>
    <w:p w:rsidR="00521636" w:rsidRPr="00C66EBD" w:rsidRDefault="00521636" w:rsidP="00C66EBD">
      <w:pPr>
        <w:widowControl w:val="0"/>
        <w:jc w:val="both"/>
        <w:rPr>
          <w:sz w:val="24"/>
          <w:szCs w:val="24"/>
        </w:rPr>
      </w:pPr>
    </w:p>
    <w:p w:rsidR="007D6CE7" w:rsidRPr="00C66EBD" w:rsidRDefault="007D6CE7" w:rsidP="00C66EBD">
      <w:pPr>
        <w:widowControl w:val="0"/>
        <w:spacing w:line="360" w:lineRule="auto"/>
        <w:rPr>
          <w:sz w:val="24"/>
          <w:szCs w:val="24"/>
          <w:u w:val="single"/>
        </w:rPr>
      </w:pPr>
      <w:r w:rsidRPr="00C66EBD">
        <w:rPr>
          <w:sz w:val="24"/>
          <w:szCs w:val="24"/>
          <w:u w:val="single"/>
        </w:rPr>
        <w:lastRenderedPageBreak/>
        <w:t>GREENHOUSE GAS (GHG) APPLICABILITY</w:t>
      </w:r>
    </w:p>
    <w:p w:rsidR="007D6CE7" w:rsidRPr="00C66EBD" w:rsidRDefault="00304FBA" w:rsidP="00C66EBD">
      <w:pPr>
        <w:widowControl w:val="0"/>
        <w:jc w:val="both"/>
        <w:rPr>
          <w:sz w:val="24"/>
          <w:szCs w:val="24"/>
        </w:rPr>
      </w:pPr>
      <w:r>
        <w:rPr>
          <w:sz w:val="24"/>
          <w:szCs w:val="24"/>
        </w:rPr>
        <w:t>In light of the U.S. Supreme Court decision (i.e., Utility Air Regulatory Group v. Environmental Protection Agency, June 23, 2014), MDEQ is following EPA’s guidance memo entitled “Next Steps and Preliminary Views on the Applicati</w:t>
      </w:r>
      <w:r w:rsidR="00215C61">
        <w:rPr>
          <w:sz w:val="24"/>
          <w:szCs w:val="24"/>
        </w:rPr>
        <w:t>o</w:t>
      </w:r>
      <w:r>
        <w:rPr>
          <w:sz w:val="24"/>
          <w:szCs w:val="24"/>
        </w:rPr>
        <w:t>n of Clean Air Act Permi</w:t>
      </w:r>
      <w:r w:rsidR="00215C61">
        <w:rPr>
          <w:sz w:val="24"/>
          <w:szCs w:val="24"/>
        </w:rPr>
        <w:t>tting Programs to Greenhouse Ga</w:t>
      </w:r>
      <w:r>
        <w:rPr>
          <w:sz w:val="24"/>
          <w:szCs w:val="24"/>
        </w:rPr>
        <w:t>ses…”, dated July 24, 2014.  Therefore GHG</w:t>
      </w:r>
      <w:r w:rsidR="00215C61">
        <w:rPr>
          <w:sz w:val="24"/>
          <w:szCs w:val="24"/>
        </w:rPr>
        <w:t xml:space="preserve">s </w:t>
      </w:r>
      <w:r>
        <w:rPr>
          <w:sz w:val="24"/>
          <w:szCs w:val="24"/>
        </w:rPr>
        <w:t>will only be regulated as a part of the NS</w:t>
      </w:r>
      <w:r w:rsidR="00215C61">
        <w:rPr>
          <w:sz w:val="24"/>
          <w:szCs w:val="24"/>
        </w:rPr>
        <w:t>R/PSD process for new</w:t>
      </w:r>
      <w:r>
        <w:rPr>
          <w:sz w:val="24"/>
          <w:szCs w:val="24"/>
        </w:rPr>
        <w:t xml:space="preserve"> or modified sources that will be m</w:t>
      </w:r>
      <w:r w:rsidR="00215C61">
        <w:rPr>
          <w:sz w:val="24"/>
          <w:szCs w:val="24"/>
        </w:rPr>
        <w:t>a</w:t>
      </w:r>
      <w:r>
        <w:rPr>
          <w:sz w:val="24"/>
          <w:szCs w:val="24"/>
        </w:rPr>
        <w:t xml:space="preserve">jor or significant for an NSR regulated pollutant, in addition </w:t>
      </w:r>
      <w:r w:rsidR="00215C61">
        <w:rPr>
          <w:sz w:val="24"/>
          <w:szCs w:val="24"/>
        </w:rPr>
        <w:t>to G</w:t>
      </w:r>
      <w:r>
        <w:rPr>
          <w:sz w:val="24"/>
          <w:szCs w:val="24"/>
        </w:rPr>
        <w:t xml:space="preserve">HGs. There are no GHG requirements in the Title V draft permit for this facility.  The facility’s potential-to-emit for CO2e is 1,449,785 TPY. </w:t>
      </w:r>
    </w:p>
    <w:p w:rsidR="007D6CE7" w:rsidRPr="00C66EBD" w:rsidRDefault="007D6CE7" w:rsidP="00C66EBD">
      <w:pPr>
        <w:widowControl w:val="0"/>
        <w:rPr>
          <w:sz w:val="24"/>
          <w:szCs w:val="24"/>
        </w:rPr>
      </w:pPr>
    </w:p>
    <w:p w:rsidR="007D6CE7" w:rsidRPr="00C66EBD" w:rsidRDefault="007D6CE7" w:rsidP="00C66EBD">
      <w:pPr>
        <w:widowControl w:val="0"/>
        <w:spacing w:line="360" w:lineRule="auto"/>
        <w:jc w:val="both"/>
        <w:rPr>
          <w:sz w:val="24"/>
          <w:szCs w:val="24"/>
          <w:u w:val="single"/>
        </w:rPr>
      </w:pPr>
      <w:r w:rsidRPr="00C66EBD">
        <w:rPr>
          <w:sz w:val="24"/>
          <w:szCs w:val="24"/>
          <w:u w:val="single"/>
        </w:rPr>
        <w:t>ACID RAIN PROGRAM APPLICABILITY</w:t>
      </w:r>
    </w:p>
    <w:p w:rsidR="00410609" w:rsidRPr="00C66EBD" w:rsidRDefault="00410609" w:rsidP="00C66EBD">
      <w:pPr>
        <w:widowControl w:val="0"/>
        <w:jc w:val="both"/>
        <w:rPr>
          <w:sz w:val="24"/>
          <w:szCs w:val="24"/>
        </w:rPr>
      </w:pPr>
      <w:r w:rsidRPr="00C66EBD">
        <w:rPr>
          <w:sz w:val="24"/>
          <w:szCs w:val="24"/>
        </w:rPr>
        <w:t>Title IV of the Clean Air Act, the Acid Rain Program (40 CFR Parts 72-75), applies to fossil fuel-fired combustors that drive generators for the purpose of generating electricity for sale. Emission Point AA-005 is subject to the Acid Rain Program.  Title IV Acid Rain requirements are addressed in Section 8 of the Title V Operating Permit. In addition, the Acid Rain Permit is attached in the Appendices to the Title V Operating Permit, and the proposed permit includes Acid Rain Program monitoring requirements.</w:t>
      </w:r>
    </w:p>
    <w:p w:rsidR="00D33CF9" w:rsidRPr="00C66EBD" w:rsidRDefault="00D33CF9" w:rsidP="00C66EBD">
      <w:pPr>
        <w:widowControl w:val="0"/>
        <w:jc w:val="both"/>
        <w:rPr>
          <w:sz w:val="24"/>
          <w:szCs w:val="24"/>
        </w:rPr>
      </w:pPr>
    </w:p>
    <w:p w:rsidR="00D33CF9" w:rsidRPr="00C66EBD" w:rsidRDefault="00D623FC" w:rsidP="00C66EBD">
      <w:pPr>
        <w:widowControl w:val="0"/>
        <w:spacing w:line="360" w:lineRule="auto"/>
        <w:jc w:val="both"/>
        <w:rPr>
          <w:sz w:val="24"/>
          <w:szCs w:val="24"/>
          <w:u w:val="single"/>
        </w:rPr>
      </w:pPr>
      <w:r>
        <w:rPr>
          <w:sz w:val="24"/>
          <w:szCs w:val="24"/>
          <w:u w:val="single"/>
        </w:rPr>
        <w:t>CROSS STATE AIR POLLUTION RULE (CSAPR)</w:t>
      </w:r>
    </w:p>
    <w:p w:rsidR="00FC5656" w:rsidRPr="00773890" w:rsidRDefault="00FC5656" w:rsidP="00FC5656">
      <w:pPr>
        <w:adjustRightInd w:val="0"/>
        <w:rPr>
          <w:color w:val="000000"/>
          <w:sz w:val="24"/>
          <w:szCs w:val="24"/>
        </w:rPr>
      </w:pPr>
      <w:r>
        <w:rPr>
          <w:color w:val="000000"/>
          <w:sz w:val="24"/>
          <w:szCs w:val="24"/>
        </w:rPr>
        <w:t>For Emission Points AA-001 through AA-005, t</w:t>
      </w:r>
      <w:r w:rsidRPr="00773890">
        <w:rPr>
          <w:color w:val="000000"/>
          <w:sz w:val="24"/>
          <w:szCs w:val="24"/>
        </w:rPr>
        <w:t>he permittee will be required to comply with the provisions of the Cross State Air Poll</w:t>
      </w:r>
      <w:r>
        <w:rPr>
          <w:color w:val="000000"/>
          <w:sz w:val="24"/>
          <w:szCs w:val="24"/>
        </w:rPr>
        <w:t>ution Rule (</w:t>
      </w:r>
      <w:r w:rsidRPr="00773890">
        <w:rPr>
          <w:color w:val="000000"/>
          <w:sz w:val="24"/>
          <w:szCs w:val="24"/>
        </w:rPr>
        <w:t>CSAPR</w:t>
      </w:r>
      <w:r>
        <w:rPr>
          <w:color w:val="000000"/>
          <w:sz w:val="24"/>
          <w:szCs w:val="24"/>
        </w:rPr>
        <w:t>)</w:t>
      </w:r>
      <w:r w:rsidRPr="00773890">
        <w:rPr>
          <w:color w:val="000000"/>
          <w:sz w:val="24"/>
          <w:szCs w:val="24"/>
        </w:rPr>
        <w:t xml:space="preserve"> as set forth 40 CFR 97 Subpart BBBBB - TR NOx Ozone Season Trading Program.  The rule establishes an allocation and trading program for ozone season (May 1 – September 30) nitrogen oxides (NOx) emissions that is managed by EPAs Clean Air Markets Division (CAMD). Phase 1 begins for ozone-season NOx trading program on May 1, 2015. The Permittee must ensure that the subject units have allocations</w:t>
      </w:r>
      <w:r>
        <w:rPr>
          <w:color w:val="000000"/>
          <w:sz w:val="24"/>
          <w:szCs w:val="24"/>
        </w:rPr>
        <w:t xml:space="preserve"> equal to or greater than </w:t>
      </w:r>
      <w:r w:rsidRPr="00773890">
        <w:rPr>
          <w:color w:val="000000"/>
          <w:sz w:val="24"/>
          <w:szCs w:val="24"/>
        </w:rPr>
        <w:t xml:space="preserve">the emissions during the ozone season period. </w:t>
      </w:r>
    </w:p>
    <w:p w:rsidR="00FC5656" w:rsidRDefault="00FC5656" w:rsidP="00C66EBD">
      <w:pPr>
        <w:widowControl w:val="0"/>
        <w:jc w:val="both"/>
        <w:rPr>
          <w:sz w:val="24"/>
          <w:szCs w:val="24"/>
        </w:rPr>
      </w:pPr>
    </w:p>
    <w:p w:rsidR="00521636" w:rsidRPr="00C66EBD" w:rsidRDefault="00742900" w:rsidP="00C66EBD">
      <w:pPr>
        <w:widowControl w:val="0"/>
        <w:spacing w:line="360" w:lineRule="auto"/>
        <w:jc w:val="both"/>
        <w:rPr>
          <w:sz w:val="24"/>
          <w:szCs w:val="24"/>
        </w:rPr>
      </w:pPr>
      <w:r w:rsidRPr="00C66EBD">
        <w:rPr>
          <w:sz w:val="24"/>
          <w:szCs w:val="24"/>
          <w:u w:val="single"/>
        </w:rPr>
        <w:t>CAM APPLICABILITY</w:t>
      </w:r>
    </w:p>
    <w:p w:rsidR="00521636" w:rsidRPr="00C66EBD" w:rsidRDefault="00742900" w:rsidP="00C66EBD">
      <w:pPr>
        <w:widowControl w:val="0"/>
        <w:jc w:val="both"/>
        <w:rPr>
          <w:sz w:val="24"/>
          <w:szCs w:val="24"/>
        </w:rPr>
      </w:pPr>
      <w:r w:rsidRPr="00C66EBD">
        <w:rPr>
          <w:sz w:val="24"/>
          <w:szCs w:val="24"/>
        </w:rPr>
        <w:t>40 CFR 64 specifies the requirements for Compliance Assurance Monitoring (CAM).  The general applicability is in 40 CFR 64.2 and requires any Part 70 or Part 71 source to comply with the CAM requirements if the following criteria are met:</w:t>
      </w:r>
    </w:p>
    <w:p w:rsidR="00521636" w:rsidRPr="00C66EBD" w:rsidRDefault="00521636" w:rsidP="00C66EBD">
      <w:pPr>
        <w:widowControl w:val="0"/>
        <w:jc w:val="both"/>
        <w:rPr>
          <w:sz w:val="24"/>
          <w:szCs w:val="24"/>
        </w:rPr>
      </w:pPr>
    </w:p>
    <w:p w:rsidR="00521636" w:rsidRPr="00C66EBD" w:rsidRDefault="00742900" w:rsidP="00C66EBD">
      <w:pPr>
        <w:widowControl w:val="0"/>
        <w:numPr>
          <w:ilvl w:val="0"/>
          <w:numId w:val="2"/>
        </w:numPr>
        <w:spacing w:after="120"/>
        <w:ind w:left="634" w:hanging="634"/>
        <w:jc w:val="both"/>
        <w:rPr>
          <w:sz w:val="24"/>
          <w:szCs w:val="24"/>
        </w:rPr>
      </w:pPr>
      <w:r w:rsidRPr="00C66EBD">
        <w:rPr>
          <w:sz w:val="24"/>
          <w:szCs w:val="24"/>
        </w:rPr>
        <w:t>The unit is subject to an emission limitation or standard for a regulated air pollutant other than exemptions under 40 CFR 64.2(b)(1), and</w:t>
      </w:r>
    </w:p>
    <w:p w:rsidR="00521636" w:rsidRPr="00C66EBD" w:rsidRDefault="00742900" w:rsidP="00C66EBD">
      <w:pPr>
        <w:widowControl w:val="0"/>
        <w:numPr>
          <w:ilvl w:val="0"/>
          <w:numId w:val="2"/>
        </w:numPr>
        <w:spacing w:after="120"/>
        <w:ind w:left="634" w:hanging="634"/>
        <w:jc w:val="both"/>
        <w:rPr>
          <w:sz w:val="24"/>
          <w:szCs w:val="24"/>
        </w:rPr>
      </w:pPr>
      <w:r w:rsidRPr="00C66EBD">
        <w:rPr>
          <w:sz w:val="24"/>
          <w:szCs w:val="24"/>
        </w:rPr>
        <w:t>The unit uses a control device to meet the standard, and</w:t>
      </w:r>
    </w:p>
    <w:p w:rsidR="00521636" w:rsidRPr="00C66EBD" w:rsidRDefault="00742900" w:rsidP="00C66EBD">
      <w:pPr>
        <w:widowControl w:val="0"/>
        <w:numPr>
          <w:ilvl w:val="0"/>
          <w:numId w:val="2"/>
        </w:numPr>
        <w:ind w:left="630" w:hanging="630"/>
        <w:jc w:val="both"/>
        <w:rPr>
          <w:sz w:val="24"/>
          <w:szCs w:val="24"/>
        </w:rPr>
      </w:pPr>
      <w:r w:rsidRPr="00C66EBD">
        <w:rPr>
          <w:sz w:val="24"/>
          <w:szCs w:val="24"/>
        </w:rPr>
        <w:t>The unit has pre-control emissions exceeding major source thresholds.</w:t>
      </w:r>
    </w:p>
    <w:p w:rsidR="00521636" w:rsidRPr="00C66EBD" w:rsidRDefault="00521636" w:rsidP="00C66EBD">
      <w:pPr>
        <w:widowControl w:val="0"/>
        <w:jc w:val="both"/>
        <w:rPr>
          <w:sz w:val="24"/>
          <w:szCs w:val="24"/>
        </w:rPr>
      </w:pPr>
    </w:p>
    <w:p w:rsidR="00521636" w:rsidRPr="00C66EBD" w:rsidRDefault="00595227" w:rsidP="00C66EBD">
      <w:pPr>
        <w:widowControl w:val="0"/>
        <w:jc w:val="both"/>
        <w:rPr>
          <w:sz w:val="24"/>
          <w:szCs w:val="24"/>
        </w:rPr>
      </w:pPr>
      <w:r w:rsidRPr="00C66EBD">
        <w:rPr>
          <w:sz w:val="24"/>
          <w:szCs w:val="24"/>
        </w:rPr>
        <w:t xml:space="preserve">Although the </w:t>
      </w:r>
      <w:r w:rsidR="00742900" w:rsidRPr="00C66EBD">
        <w:rPr>
          <w:sz w:val="24"/>
          <w:szCs w:val="24"/>
        </w:rPr>
        <w:t xml:space="preserve">facility has equipment </w:t>
      </w:r>
      <w:r w:rsidRPr="00C66EBD">
        <w:rPr>
          <w:sz w:val="24"/>
          <w:szCs w:val="24"/>
        </w:rPr>
        <w:t>that is subject to emissions limits or emission standards</w:t>
      </w:r>
      <w:r w:rsidR="00790543" w:rsidRPr="00C66EBD">
        <w:rPr>
          <w:sz w:val="24"/>
          <w:szCs w:val="24"/>
        </w:rPr>
        <w:t xml:space="preserve"> and </w:t>
      </w:r>
      <w:r w:rsidRPr="00C66EBD">
        <w:rPr>
          <w:sz w:val="24"/>
          <w:szCs w:val="24"/>
        </w:rPr>
        <w:t>has</w:t>
      </w:r>
      <w:r w:rsidR="00742900" w:rsidRPr="00C66EBD">
        <w:rPr>
          <w:sz w:val="24"/>
          <w:szCs w:val="24"/>
        </w:rPr>
        <w:t xml:space="preserve"> pre-control emissions exceeding the major source thresholds</w:t>
      </w:r>
      <w:r w:rsidRPr="00C66EBD">
        <w:rPr>
          <w:sz w:val="24"/>
          <w:szCs w:val="24"/>
        </w:rPr>
        <w:t>,</w:t>
      </w:r>
      <w:r w:rsidR="00410609" w:rsidRPr="00C66EBD">
        <w:rPr>
          <w:sz w:val="24"/>
          <w:szCs w:val="24"/>
        </w:rPr>
        <w:t xml:space="preserve"> </w:t>
      </w:r>
      <w:r w:rsidRPr="00C66EBD">
        <w:rPr>
          <w:sz w:val="24"/>
          <w:szCs w:val="24"/>
        </w:rPr>
        <w:t xml:space="preserve">no unit </w:t>
      </w:r>
      <w:r w:rsidR="00742900" w:rsidRPr="00C66EBD">
        <w:rPr>
          <w:sz w:val="24"/>
          <w:szCs w:val="24"/>
        </w:rPr>
        <w:t xml:space="preserve">uses a control device to comply with an emission limit or standard.  </w:t>
      </w:r>
      <w:r w:rsidRPr="00C66EBD">
        <w:rPr>
          <w:sz w:val="24"/>
          <w:szCs w:val="24"/>
        </w:rPr>
        <w:t xml:space="preserve">Therefore, CAM does not apply to any unit at this facility.  </w:t>
      </w:r>
    </w:p>
    <w:p w:rsidR="00521636" w:rsidRPr="00C66EBD" w:rsidRDefault="00521636" w:rsidP="00C66EBD">
      <w:pPr>
        <w:widowControl w:val="0"/>
        <w:jc w:val="both"/>
        <w:rPr>
          <w:sz w:val="24"/>
          <w:szCs w:val="24"/>
        </w:rPr>
      </w:pPr>
    </w:p>
    <w:p w:rsidR="00521636" w:rsidRPr="00C66EBD" w:rsidRDefault="00742900" w:rsidP="00C66EBD">
      <w:pPr>
        <w:widowControl w:val="0"/>
        <w:spacing w:line="360" w:lineRule="auto"/>
        <w:jc w:val="both"/>
        <w:rPr>
          <w:sz w:val="24"/>
          <w:szCs w:val="24"/>
          <w:u w:val="single"/>
        </w:rPr>
      </w:pPr>
      <w:r w:rsidRPr="00C66EBD">
        <w:rPr>
          <w:sz w:val="24"/>
          <w:szCs w:val="24"/>
          <w:u w:val="single"/>
        </w:rPr>
        <w:t>NSPS APPLICABILITY</w:t>
      </w:r>
    </w:p>
    <w:p w:rsidR="00D33CF9" w:rsidRPr="00C66EBD" w:rsidRDefault="00D33CF9" w:rsidP="00C66EBD">
      <w:pPr>
        <w:widowControl w:val="0"/>
        <w:jc w:val="both"/>
        <w:rPr>
          <w:sz w:val="24"/>
          <w:szCs w:val="24"/>
        </w:rPr>
      </w:pPr>
      <w:r w:rsidRPr="00C66EBD">
        <w:rPr>
          <w:sz w:val="24"/>
          <w:szCs w:val="24"/>
        </w:rPr>
        <w:t>Emission Point AA-00</w:t>
      </w:r>
      <w:r w:rsidR="00ED2590" w:rsidRPr="00C66EBD">
        <w:rPr>
          <w:sz w:val="24"/>
          <w:szCs w:val="24"/>
        </w:rPr>
        <w:t>5</w:t>
      </w:r>
      <w:r w:rsidRPr="00C66EBD">
        <w:rPr>
          <w:sz w:val="24"/>
          <w:szCs w:val="24"/>
        </w:rPr>
        <w:t xml:space="preserve">, </w:t>
      </w:r>
      <w:r w:rsidR="00ED2590" w:rsidRPr="00C66EBD">
        <w:rPr>
          <w:sz w:val="24"/>
          <w:szCs w:val="24"/>
        </w:rPr>
        <w:t>a</w:t>
      </w:r>
      <w:r w:rsidRPr="00C66EBD">
        <w:rPr>
          <w:sz w:val="24"/>
          <w:szCs w:val="24"/>
        </w:rPr>
        <w:t xml:space="preserve"> 1</w:t>
      </w:r>
      <w:r w:rsidR="00ED2590" w:rsidRPr="00C66EBD">
        <w:rPr>
          <w:sz w:val="24"/>
          <w:szCs w:val="24"/>
        </w:rPr>
        <w:t>084.6</w:t>
      </w:r>
      <w:r w:rsidRPr="00C66EBD">
        <w:rPr>
          <w:sz w:val="24"/>
          <w:szCs w:val="24"/>
        </w:rPr>
        <w:t xml:space="preserve"> MMBTU/hr gas-fired Combustion Turbine Generators (CTG), </w:t>
      </w:r>
      <w:r w:rsidR="00ED2590" w:rsidRPr="00C66EBD">
        <w:rPr>
          <w:sz w:val="24"/>
          <w:szCs w:val="24"/>
        </w:rPr>
        <w:t>is</w:t>
      </w:r>
      <w:r w:rsidRPr="00C66EBD">
        <w:rPr>
          <w:sz w:val="24"/>
          <w:szCs w:val="24"/>
        </w:rPr>
        <w:t xml:space="preserve"> subject to 40 CFR 60, Subpart GG - Standards of Performance for Stationary Gas Turbines </w:t>
      </w:r>
      <w:r w:rsidRPr="00C66EBD">
        <w:rPr>
          <w:sz w:val="24"/>
          <w:szCs w:val="24"/>
        </w:rPr>
        <w:lastRenderedPageBreak/>
        <w:t>(§60.330-335)</w:t>
      </w:r>
      <w:r w:rsidR="00C12DE4" w:rsidRPr="00C66EBD">
        <w:rPr>
          <w:sz w:val="24"/>
          <w:szCs w:val="24"/>
        </w:rPr>
        <w:t xml:space="preserve"> since constructed after October 3, 1977</w:t>
      </w:r>
      <w:r w:rsidRPr="00C66EBD">
        <w:rPr>
          <w:sz w:val="24"/>
          <w:szCs w:val="24"/>
        </w:rPr>
        <w:t>.</w:t>
      </w:r>
    </w:p>
    <w:p w:rsidR="00D33CF9" w:rsidRPr="00C66EBD" w:rsidRDefault="00D33CF9" w:rsidP="00C66EBD">
      <w:pPr>
        <w:widowControl w:val="0"/>
        <w:jc w:val="both"/>
        <w:rPr>
          <w:sz w:val="24"/>
          <w:szCs w:val="24"/>
        </w:rPr>
      </w:pPr>
    </w:p>
    <w:p w:rsidR="00ED2590" w:rsidRPr="00C66EBD" w:rsidRDefault="00ED2590" w:rsidP="00C66EBD">
      <w:pPr>
        <w:widowControl w:val="0"/>
        <w:jc w:val="both"/>
        <w:rPr>
          <w:sz w:val="24"/>
          <w:szCs w:val="24"/>
        </w:rPr>
      </w:pPr>
      <w:r w:rsidRPr="00C66EBD">
        <w:rPr>
          <w:sz w:val="24"/>
          <w:szCs w:val="24"/>
        </w:rPr>
        <w:t>Emission Point AA-006, a 221.3 MMBTU/hr natural gas-fired boiler, is subject to 40 CFR 60, Subpart Db – Standards of Performance for Industrial-Commercial-Institutional Steam Generating Units</w:t>
      </w:r>
      <w:r w:rsidR="00C12DE4" w:rsidRPr="00C66EBD">
        <w:rPr>
          <w:sz w:val="24"/>
          <w:szCs w:val="24"/>
        </w:rPr>
        <w:t xml:space="preserve"> since constructed after June 19, 1984</w:t>
      </w:r>
      <w:r w:rsidRPr="00C66EBD">
        <w:rPr>
          <w:sz w:val="24"/>
          <w:szCs w:val="24"/>
        </w:rPr>
        <w:t>.</w:t>
      </w:r>
    </w:p>
    <w:p w:rsidR="00D33CF9" w:rsidRPr="00C66EBD" w:rsidRDefault="00D33CF9" w:rsidP="00C66EBD">
      <w:pPr>
        <w:widowControl w:val="0"/>
        <w:jc w:val="both"/>
        <w:rPr>
          <w:sz w:val="24"/>
          <w:szCs w:val="24"/>
        </w:rPr>
      </w:pPr>
      <w:r w:rsidRPr="00C66EBD">
        <w:rPr>
          <w:sz w:val="24"/>
          <w:szCs w:val="24"/>
        </w:rPr>
        <w:t>Emission Point AA-0</w:t>
      </w:r>
      <w:r w:rsidR="00ED2590" w:rsidRPr="00C66EBD">
        <w:rPr>
          <w:sz w:val="24"/>
          <w:szCs w:val="24"/>
        </w:rPr>
        <w:t>1</w:t>
      </w:r>
      <w:r w:rsidRPr="00C66EBD">
        <w:rPr>
          <w:sz w:val="24"/>
          <w:szCs w:val="24"/>
        </w:rPr>
        <w:t xml:space="preserve">4, </w:t>
      </w:r>
      <w:r w:rsidR="00ED2590" w:rsidRPr="00C66EBD">
        <w:rPr>
          <w:sz w:val="24"/>
          <w:szCs w:val="24"/>
        </w:rPr>
        <w:t>a 20 HP propane-fired back-up generator, is</w:t>
      </w:r>
      <w:r w:rsidRPr="00C66EBD">
        <w:rPr>
          <w:sz w:val="24"/>
          <w:szCs w:val="24"/>
        </w:rPr>
        <w:t xml:space="preserve"> subject to 40 CFR 60, Subpart </w:t>
      </w:r>
      <w:r w:rsidR="00ED2590" w:rsidRPr="00C66EBD">
        <w:rPr>
          <w:sz w:val="24"/>
          <w:szCs w:val="24"/>
        </w:rPr>
        <w:t>JJJJ</w:t>
      </w:r>
      <w:r w:rsidRPr="00C66EBD">
        <w:rPr>
          <w:sz w:val="24"/>
          <w:szCs w:val="24"/>
        </w:rPr>
        <w:t xml:space="preserve"> – Standards for Stationary </w:t>
      </w:r>
      <w:r w:rsidR="00ED2590" w:rsidRPr="00C66EBD">
        <w:rPr>
          <w:sz w:val="24"/>
          <w:szCs w:val="24"/>
        </w:rPr>
        <w:t>Spark I</w:t>
      </w:r>
      <w:r w:rsidRPr="00C66EBD">
        <w:rPr>
          <w:sz w:val="24"/>
          <w:szCs w:val="24"/>
        </w:rPr>
        <w:t xml:space="preserve">gnition Internal Combustion Engines.  </w:t>
      </w:r>
    </w:p>
    <w:p w:rsidR="00D33CF9" w:rsidRPr="00C66EBD" w:rsidRDefault="00D33CF9" w:rsidP="00C66EBD">
      <w:pPr>
        <w:widowControl w:val="0"/>
        <w:jc w:val="both"/>
        <w:rPr>
          <w:sz w:val="24"/>
          <w:szCs w:val="24"/>
        </w:rPr>
      </w:pPr>
    </w:p>
    <w:p w:rsidR="00E04BF9" w:rsidRPr="00C66EBD" w:rsidRDefault="00E04BF9" w:rsidP="00C66EBD">
      <w:pPr>
        <w:widowControl w:val="0"/>
        <w:jc w:val="both"/>
        <w:rPr>
          <w:sz w:val="24"/>
          <w:szCs w:val="24"/>
        </w:rPr>
      </w:pPr>
      <w:r w:rsidRPr="00C66EBD">
        <w:rPr>
          <w:sz w:val="24"/>
          <w:szCs w:val="24"/>
        </w:rPr>
        <w:t>Sources at the facility are not subject to the following NSPS regulations:</w:t>
      </w:r>
    </w:p>
    <w:p w:rsidR="00D33CF9" w:rsidRPr="00C66EBD" w:rsidRDefault="00D33CF9" w:rsidP="00C66EBD">
      <w:pPr>
        <w:widowControl w:val="0"/>
        <w:jc w:val="both"/>
        <w:rPr>
          <w:sz w:val="24"/>
          <w:szCs w:val="24"/>
        </w:rPr>
      </w:pPr>
    </w:p>
    <w:p w:rsidR="00E04BF9" w:rsidRPr="00C66EBD" w:rsidRDefault="00E04BF9" w:rsidP="00C66EBD">
      <w:pPr>
        <w:widowControl w:val="0"/>
        <w:numPr>
          <w:ilvl w:val="0"/>
          <w:numId w:val="4"/>
        </w:numPr>
        <w:spacing w:after="120"/>
        <w:jc w:val="both"/>
        <w:rPr>
          <w:sz w:val="24"/>
          <w:szCs w:val="24"/>
        </w:rPr>
      </w:pPr>
      <w:r w:rsidRPr="00C66EBD">
        <w:rPr>
          <w:sz w:val="24"/>
          <w:szCs w:val="24"/>
        </w:rPr>
        <w:t>Emission Points AA-001 through AA-004</w:t>
      </w:r>
      <w:r w:rsidR="00C12DE4" w:rsidRPr="00C66EBD">
        <w:rPr>
          <w:sz w:val="24"/>
          <w:szCs w:val="24"/>
        </w:rPr>
        <w:t>, the gas-fired combustion turbine generators</w:t>
      </w:r>
      <w:r w:rsidRPr="00C66EBD">
        <w:rPr>
          <w:sz w:val="24"/>
          <w:szCs w:val="24"/>
        </w:rPr>
        <w:t xml:space="preserve">, </w:t>
      </w:r>
      <w:r w:rsidR="00C12DE4" w:rsidRPr="00C66EBD">
        <w:rPr>
          <w:sz w:val="24"/>
          <w:szCs w:val="24"/>
        </w:rPr>
        <w:t xml:space="preserve">are not </w:t>
      </w:r>
      <w:r w:rsidRPr="00C66EBD">
        <w:rPr>
          <w:sz w:val="24"/>
          <w:szCs w:val="24"/>
        </w:rPr>
        <w:t xml:space="preserve">subject to 40 CFR 60, Subpart GG </w:t>
      </w:r>
      <w:r w:rsidR="00C12DE4" w:rsidRPr="00C66EBD">
        <w:rPr>
          <w:sz w:val="24"/>
          <w:szCs w:val="24"/>
        </w:rPr>
        <w:t>since constructed before October 3, 1977</w:t>
      </w:r>
      <w:r w:rsidRPr="00C66EBD">
        <w:rPr>
          <w:sz w:val="24"/>
          <w:szCs w:val="24"/>
        </w:rPr>
        <w:t>.</w:t>
      </w:r>
    </w:p>
    <w:p w:rsidR="007D6CE7" w:rsidRPr="00C66EBD" w:rsidRDefault="00C12DE4" w:rsidP="00C66EBD">
      <w:pPr>
        <w:widowControl w:val="0"/>
        <w:numPr>
          <w:ilvl w:val="0"/>
          <w:numId w:val="4"/>
        </w:numPr>
        <w:spacing w:after="120"/>
        <w:jc w:val="both"/>
        <w:rPr>
          <w:sz w:val="24"/>
          <w:szCs w:val="24"/>
        </w:rPr>
      </w:pPr>
      <w:r w:rsidRPr="00C66EBD">
        <w:rPr>
          <w:sz w:val="24"/>
          <w:szCs w:val="24"/>
        </w:rPr>
        <w:t xml:space="preserve">Emission Points AA-001 through </w:t>
      </w:r>
      <w:r w:rsidR="007D6CE7" w:rsidRPr="00C66EBD">
        <w:rPr>
          <w:sz w:val="24"/>
          <w:szCs w:val="24"/>
        </w:rPr>
        <w:t>AA-00</w:t>
      </w:r>
      <w:r w:rsidRPr="00C66EBD">
        <w:rPr>
          <w:sz w:val="24"/>
          <w:szCs w:val="24"/>
        </w:rPr>
        <w:t>5, gas-fired combustion turbines, are</w:t>
      </w:r>
      <w:r w:rsidR="007D6CE7" w:rsidRPr="00C66EBD">
        <w:rPr>
          <w:sz w:val="24"/>
          <w:szCs w:val="24"/>
        </w:rPr>
        <w:t xml:space="preserve"> not subject to Subpart KKKK since construct</w:t>
      </w:r>
      <w:r w:rsidRPr="00C66EBD">
        <w:rPr>
          <w:sz w:val="24"/>
          <w:szCs w:val="24"/>
        </w:rPr>
        <w:t>ed</w:t>
      </w:r>
      <w:r w:rsidR="005A6353" w:rsidRPr="00C66EBD">
        <w:rPr>
          <w:sz w:val="24"/>
          <w:szCs w:val="24"/>
        </w:rPr>
        <w:t xml:space="preserve"> prior to</w:t>
      </w:r>
      <w:r w:rsidR="007D6CE7" w:rsidRPr="00C66EBD">
        <w:rPr>
          <w:sz w:val="24"/>
          <w:szCs w:val="24"/>
        </w:rPr>
        <w:t xml:space="preserve"> February 18, 2005.</w:t>
      </w:r>
    </w:p>
    <w:p w:rsidR="007D6CE7" w:rsidRPr="00C66EBD" w:rsidRDefault="00C12DE4" w:rsidP="00C66EBD">
      <w:pPr>
        <w:widowControl w:val="0"/>
        <w:numPr>
          <w:ilvl w:val="0"/>
          <w:numId w:val="4"/>
        </w:numPr>
        <w:spacing w:after="120"/>
        <w:jc w:val="both"/>
        <w:rPr>
          <w:sz w:val="24"/>
          <w:szCs w:val="24"/>
        </w:rPr>
      </w:pPr>
      <w:r w:rsidRPr="00C66EBD">
        <w:rPr>
          <w:sz w:val="24"/>
          <w:szCs w:val="24"/>
        </w:rPr>
        <w:t xml:space="preserve">Emission Points AA-012 and AA-013, </w:t>
      </w:r>
      <w:r w:rsidR="005A6353" w:rsidRPr="00C66EBD">
        <w:rPr>
          <w:sz w:val="24"/>
          <w:szCs w:val="24"/>
        </w:rPr>
        <w:t xml:space="preserve">300 HP </w:t>
      </w:r>
      <w:r w:rsidRPr="00C66EBD">
        <w:rPr>
          <w:sz w:val="24"/>
          <w:szCs w:val="24"/>
        </w:rPr>
        <w:t xml:space="preserve">diesel-fired black start engines, are </w:t>
      </w:r>
      <w:r w:rsidR="007D6CE7" w:rsidRPr="00C66EBD">
        <w:rPr>
          <w:sz w:val="24"/>
          <w:szCs w:val="24"/>
        </w:rPr>
        <w:t>not subject to Subpart IIII since constructed prior to July 11, 2005.</w:t>
      </w:r>
    </w:p>
    <w:p w:rsidR="00790543" w:rsidRPr="00C66EBD" w:rsidRDefault="005A6353" w:rsidP="00C66EBD">
      <w:pPr>
        <w:widowControl w:val="0"/>
        <w:numPr>
          <w:ilvl w:val="0"/>
          <w:numId w:val="4"/>
        </w:numPr>
        <w:jc w:val="both"/>
        <w:rPr>
          <w:sz w:val="24"/>
          <w:szCs w:val="24"/>
        </w:rPr>
      </w:pPr>
      <w:r w:rsidRPr="00C66EBD">
        <w:rPr>
          <w:sz w:val="24"/>
          <w:szCs w:val="24"/>
        </w:rPr>
        <w:t>Emission Points AA-007 through AA-011, s</w:t>
      </w:r>
      <w:r w:rsidR="007D6CE7" w:rsidRPr="00C66EBD">
        <w:rPr>
          <w:sz w:val="24"/>
          <w:szCs w:val="24"/>
        </w:rPr>
        <w:t>torage tanks</w:t>
      </w:r>
      <w:r w:rsidRPr="00C66EBD">
        <w:rPr>
          <w:sz w:val="24"/>
          <w:szCs w:val="24"/>
        </w:rPr>
        <w:t>,</w:t>
      </w:r>
      <w:r w:rsidR="007D6CE7" w:rsidRPr="00C66EBD">
        <w:rPr>
          <w:sz w:val="24"/>
          <w:szCs w:val="24"/>
        </w:rPr>
        <w:t xml:space="preserve"> are not subject to Subpart K/Ka/Kb </w:t>
      </w:r>
      <w:r w:rsidRPr="00C66EBD">
        <w:rPr>
          <w:sz w:val="24"/>
          <w:szCs w:val="24"/>
        </w:rPr>
        <w:t xml:space="preserve">based on size, vapor pressure, and being </w:t>
      </w:r>
      <w:r w:rsidR="007D6CE7" w:rsidRPr="00C66EBD">
        <w:rPr>
          <w:sz w:val="24"/>
          <w:szCs w:val="24"/>
        </w:rPr>
        <w:t>constructed prior to the applicable compliance dates (June 11, 1973 for K/Ka and July 23, 1984 for Kb).</w:t>
      </w:r>
    </w:p>
    <w:p w:rsidR="00E04BF9" w:rsidRPr="00C66EBD" w:rsidRDefault="00E04BF9" w:rsidP="00C66EBD">
      <w:pPr>
        <w:widowControl w:val="0"/>
        <w:jc w:val="both"/>
        <w:rPr>
          <w:sz w:val="24"/>
          <w:szCs w:val="24"/>
          <w:u w:val="single"/>
        </w:rPr>
      </w:pPr>
    </w:p>
    <w:p w:rsidR="00521636" w:rsidRPr="00C66EBD" w:rsidRDefault="00595227" w:rsidP="00C66EBD">
      <w:pPr>
        <w:widowControl w:val="0"/>
        <w:spacing w:line="360" w:lineRule="auto"/>
        <w:jc w:val="both"/>
        <w:rPr>
          <w:sz w:val="24"/>
          <w:szCs w:val="24"/>
          <w:u w:val="single"/>
        </w:rPr>
      </w:pPr>
      <w:r w:rsidRPr="00C66EBD">
        <w:rPr>
          <w:sz w:val="24"/>
          <w:szCs w:val="24"/>
          <w:u w:val="single"/>
        </w:rPr>
        <w:t>NESHAP</w:t>
      </w:r>
      <w:r w:rsidR="00742900" w:rsidRPr="00C66EBD">
        <w:rPr>
          <w:sz w:val="24"/>
          <w:szCs w:val="24"/>
          <w:u w:val="single"/>
        </w:rPr>
        <w:t xml:space="preserve"> APPLICABILITY</w:t>
      </w:r>
    </w:p>
    <w:p w:rsidR="00D33CF9" w:rsidRPr="00C66EBD" w:rsidRDefault="00D33CF9" w:rsidP="00C66EBD">
      <w:pPr>
        <w:widowControl w:val="0"/>
        <w:jc w:val="both"/>
        <w:rPr>
          <w:sz w:val="24"/>
          <w:szCs w:val="24"/>
        </w:rPr>
      </w:pPr>
      <w:r w:rsidRPr="00C66EBD">
        <w:rPr>
          <w:sz w:val="24"/>
          <w:szCs w:val="24"/>
        </w:rPr>
        <w:t>This facility is an area source for HA</w:t>
      </w:r>
      <w:r w:rsidR="00410F66">
        <w:rPr>
          <w:sz w:val="24"/>
          <w:szCs w:val="24"/>
        </w:rPr>
        <w:t>P emissions (Total HAPs &lt; 25 TPY, Ind. HAPs &lt; 10 TPY</w:t>
      </w:r>
      <w:r w:rsidRPr="00C66EBD">
        <w:rPr>
          <w:sz w:val="24"/>
          <w:szCs w:val="24"/>
        </w:rPr>
        <w:t>).</w:t>
      </w:r>
    </w:p>
    <w:p w:rsidR="00D33CF9" w:rsidRPr="00C66EBD" w:rsidRDefault="00D33CF9" w:rsidP="00C66EBD">
      <w:pPr>
        <w:widowControl w:val="0"/>
        <w:jc w:val="both"/>
        <w:rPr>
          <w:sz w:val="24"/>
          <w:szCs w:val="24"/>
        </w:rPr>
      </w:pPr>
    </w:p>
    <w:p w:rsidR="00D33CF9" w:rsidRPr="00C66EBD" w:rsidRDefault="005A6353" w:rsidP="00C66EBD">
      <w:pPr>
        <w:widowControl w:val="0"/>
        <w:jc w:val="both"/>
        <w:rPr>
          <w:sz w:val="24"/>
          <w:szCs w:val="24"/>
        </w:rPr>
      </w:pPr>
      <w:r w:rsidRPr="00C66EBD">
        <w:rPr>
          <w:sz w:val="24"/>
          <w:szCs w:val="24"/>
        </w:rPr>
        <w:t xml:space="preserve">Emission Points AA-0012 and AA-013, 300 HP black start diesel </w:t>
      </w:r>
      <w:r w:rsidR="00D33CF9" w:rsidRPr="00C66EBD">
        <w:rPr>
          <w:sz w:val="24"/>
          <w:szCs w:val="24"/>
        </w:rPr>
        <w:t xml:space="preserve">engines, </w:t>
      </w:r>
      <w:r w:rsidRPr="00C66EBD">
        <w:rPr>
          <w:sz w:val="24"/>
          <w:szCs w:val="24"/>
        </w:rPr>
        <w:t>a</w:t>
      </w:r>
      <w:r w:rsidR="00D33CF9" w:rsidRPr="00C66EBD">
        <w:rPr>
          <w:sz w:val="24"/>
          <w:szCs w:val="24"/>
        </w:rPr>
        <w:t>re subject to 40 CFR 63, Subpart ZZZZ - NESHAP for Stationary Reciprocating Internal Combustion Engines (RICE).  These are considered existing compression ignition (CI) emergency stationary RICE located at an area source and should be in compliance with the applicable requirements of Subpart ZZZZ.</w:t>
      </w:r>
    </w:p>
    <w:p w:rsidR="005A6353" w:rsidRPr="00C66EBD" w:rsidRDefault="005A6353" w:rsidP="00C66EBD">
      <w:pPr>
        <w:widowControl w:val="0"/>
        <w:jc w:val="both"/>
        <w:rPr>
          <w:sz w:val="24"/>
          <w:szCs w:val="24"/>
        </w:rPr>
      </w:pPr>
    </w:p>
    <w:p w:rsidR="005A6353" w:rsidRPr="00C66EBD" w:rsidRDefault="005A6353" w:rsidP="00C66EBD">
      <w:pPr>
        <w:widowControl w:val="0"/>
        <w:jc w:val="both"/>
        <w:rPr>
          <w:sz w:val="24"/>
          <w:szCs w:val="24"/>
        </w:rPr>
      </w:pPr>
      <w:r w:rsidRPr="00C66EBD">
        <w:rPr>
          <w:sz w:val="24"/>
          <w:szCs w:val="24"/>
        </w:rPr>
        <w:t>Emission Point AA-014, 20 HP backup propane fired engine, is subject to 40 CFR 63, Subpart ZZZZ</w:t>
      </w:r>
      <w:r w:rsidR="00091759" w:rsidRPr="00C66EBD">
        <w:rPr>
          <w:sz w:val="24"/>
          <w:szCs w:val="24"/>
        </w:rPr>
        <w:t>, but meets the requirements of this subpart by complying with 40 CFR 60, Subpart JJJJ</w:t>
      </w:r>
      <w:r w:rsidRPr="00C66EBD">
        <w:rPr>
          <w:sz w:val="24"/>
          <w:szCs w:val="24"/>
        </w:rPr>
        <w:t xml:space="preserve">.  </w:t>
      </w:r>
    </w:p>
    <w:p w:rsidR="00091759" w:rsidRPr="00C66EBD" w:rsidRDefault="00091759" w:rsidP="00C66EBD">
      <w:pPr>
        <w:widowControl w:val="0"/>
        <w:jc w:val="both"/>
        <w:rPr>
          <w:sz w:val="24"/>
          <w:szCs w:val="24"/>
        </w:rPr>
      </w:pPr>
    </w:p>
    <w:p w:rsidR="00091759" w:rsidRPr="00C66EBD" w:rsidRDefault="00091759" w:rsidP="00C66EBD">
      <w:pPr>
        <w:widowControl w:val="0"/>
        <w:jc w:val="both"/>
        <w:rPr>
          <w:sz w:val="24"/>
          <w:szCs w:val="24"/>
        </w:rPr>
      </w:pPr>
      <w:r w:rsidRPr="00C66EBD">
        <w:rPr>
          <w:sz w:val="24"/>
          <w:szCs w:val="24"/>
        </w:rPr>
        <w:t>Sources at the facility are not subject to the following NESHAP regulations:</w:t>
      </w:r>
    </w:p>
    <w:p w:rsidR="00091759" w:rsidRPr="00C66EBD" w:rsidRDefault="00091759" w:rsidP="00C66EBD">
      <w:pPr>
        <w:widowControl w:val="0"/>
        <w:jc w:val="both"/>
        <w:rPr>
          <w:sz w:val="24"/>
          <w:szCs w:val="24"/>
        </w:rPr>
      </w:pPr>
    </w:p>
    <w:p w:rsidR="00091759" w:rsidRPr="00C66EBD" w:rsidRDefault="00091759" w:rsidP="00C66EBD">
      <w:pPr>
        <w:widowControl w:val="0"/>
        <w:numPr>
          <w:ilvl w:val="0"/>
          <w:numId w:val="5"/>
        </w:numPr>
        <w:spacing w:after="120"/>
        <w:jc w:val="both"/>
        <w:rPr>
          <w:sz w:val="24"/>
          <w:szCs w:val="24"/>
        </w:rPr>
      </w:pPr>
      <w:r w:rsidRPr="00C66EBD">
        <w:rPr>
          <w:sz w:val="24"/>
          <w:szCs w:val="24"/>
        </w:rPr>
        <w:t>Emission Point AA-006 combusts only natural gas and is therefore not subject to 40 CFR Part 63, Subpart JJJJJJ - National Emission Standards for Hazardous Air Pollutants (NESHAPS) for Industrial, Commercial, and Institutional Boilers Area Sources.</w:t>
      </w:r>
    </w:p>
    <w:p w:rsidR="00091759" w:rsidRPr="00C66EBD" w:rsidRDefault="00091759" w:rsidP="00C66EBD">
      <w:pPr>
        <w:widowControl w:val="0"/>
        <w:numPr>
          <w:ilvl w:val="0"/>
          <w:numId w:val="4"/>
        </w:numPr>
        <w:spacing w:after="120"/>
        <w:jc w:val="both"/>
        <w:rPr>
          <w:sz w:val="24"/>
          <w:szCs w:val="24"/>
        </w:rPr>
      </w:pPr>
      <w:r w:rsidRPr="00C66EBD">
        <w:rPr>
          <w:sz w:val="24"/>
          <w:szCs w:val="24"/>
        </w:rPr>
        <w:t xml:space="preserve">Emission Points AA-006 is not subject to Subpart DDDDD </w:t>
      </w:r>
      <w:r w:rsidR="00A2141C" w:rsidRPr="00C66EBD">
        <w:rPr>
          <w:sz w:val="24"/>
          <w:szCs w:val="24"/>
        </w:rPr>
        <w:t xml:space="preserve">– NESHAP </w:t>
      </w:r>
      <w:r w:rsidRPr="00C66EBD">
        <w:rPr>
          <w:sz w:val="24"/>
          <w:szCs w:val="24"/>
        </w:rPr>
        <w:t>for Industrial, Commercial, and Institutional Boilers and Process Heaters since this is not a major source of HAP emissions.</w:t>
      </w:r>
    </w:p>
    <w:p w:rsidR="00091759" w:rsidRPr="00C66EBD" w:rsidRDefault="00091759" w:rsidP="00C66EBD">
      <w:pPr>
        <w:widowControl w:val="0"/>
        <w:numPr>
          <w:ilvl w:val="0"/>
          <w:numId w:val="4"/>
        </w:numPr>
        <w:spacing w:after="120"/>
        <w:jc w:val="both"/>
        <w:rPr>
          <w:sz w:val="24"/>
          <w:szCs w:val="24"/>
        </w:rPr>
      </w:pPr>
      <w:r w:rsidRPr="00C66EBD">
        <w:rPr>
          <w:sz w:val="24"/>
          <w:szCs w:val="24"/>
        </w:rPr>
        <w:t xml:space="preserve">Emission Points AA-001 through AA-005 are not subject to Subpart YYYY </w:t>
      </w:r>
      <w:r w:rsidR="00A2141C" w:rsidRPr="00C66EBD">
        <w:rPr>
          <w:sz w:val="24"/>
          <w:szCs w:val="24"/>
        </w:rPr>
        <w:t xml:space="preserve">– NESHAP </w:t>
      </w:r>
      <w:r w:rsidRPr="00C66EBD">
        <w:rPr>
          <w:sz w:val="24"/>
          <w:szCs w:val="24"/>
        </w:rPr>
        <w:t>for Stationary Combustion Turbines since this is not a major source of HAP emissions.</w:t>
      </w:r>
    </w:p>
    <w:p w:rsidR="00091759" w:rsidRPr="00C66EBD" w:rsidRDefault="00091759" w:rsidP="00C66EBD">
      <w:pPr>
        <w:widowControl w:val="0"/>
        <w:numPr>
          <w:ilvl w:val="0"/>
          <w:numId w:val="5"/>
        </w:numPr>
        <w:jc w:val="both"/>
        <w:rPr>
          <w:sz w:val="24"/>
          <w:szCs w:val="24"/>
        </w:rPr>
      </w:pPr>
      <w:r w:rsidRPr="00C66EBD">
        <w:rPr>
          <w:sz w:val="24"/>
          <w:szCs w:val="24"/>
        </w:rPr>
        <w:t>This utility is not subject to Subpart UUUUU.  Combustion turbines are not subject to the standard (63.9983(a)), and the boiler is not subject since it is not considered a coal or oil-</w:t>
      </w:r>
      <w:r w:rsidRPr="00C66EBD">
        <w:rPr>
          <w:sz w:val="24"/>
          <w:szCs w:val="24"/>
        </w:rPr>
        <w:lastRenderedPageBreak/>
        <w:t>fired unit (63.9983(b)).</w:t>
      </w:r>
    </w:p>
    <w:p w:rsidR="00B207A8" w:rsidRPr="00C66EBD" w:rsidRDefault="00B207A8" w:rsidP="00C66EBD">
      <w:pPr>
        <w:widowControl w:val="0"/>
        <w:ind w:left="360"/>
        <w:jc w:val="both"/>
        <w:rPr>
          <w:sz w:val="24"/>
          <w:szCs w:val="24"/>
        </w:rPr>
      </w:pPr>
    </w:p>
    <w:p w:rsidR="00521636" w:rsidRPr="00C66EBD" w:rsidRDefault="00742900" w:rsidP="00C66EBD">
      <w:pPr>
        <w:widowControl w:val="0"/>
        <w:spacing w:line="360" w:lineRule="auto"/>
        <w:jc w:val="both"/>
        <w:rPr>
          <w:sz w:val="24"/>
          <w:szCs w:val="24"/>
          <w:u w:val="single"/>
        </w:rPr>
      </w:pPr>
      <w:r w:rsidRPr="00C66EBD">
        <w:rPr>
          <w:sz w:val="24"/>
          <w:szCs w:val="24"/>
          <w:u w:val="single"/>
        </w:rPr>
        <w:t>SPECIFIC APPLICABLE REQUIREMENTS</w:t>
      </w:r>
    </w:p>
    <w:tbl>
      <w:tblPr>
        <w:tblW w:w="10800" w:type="dxa"/>
        <w:jc w:val="center"/>
        <w:tblInd w:w="540" w:type="dxa"/>
        <w:tblLayout w:type="fixed"/>
        <w:tblCellMar>
          <w:left w:w="62" w:type="dxa"/>
          <w:right w:w="62" w:type="dxa"/>
        </w:tblCellMar>
        <w:tblLook w:val="0000" w:firstRow="0" w:lastRow="0" w:firstColumn="0" w:lastColumn="0" w:noHBand="0" w:noVBand="0"/>
      </w:tblPr>
      <w:tblGrid>
        <w:gridCol w:w="1616"/>
        <w:gridCol w:w="1172"/>
        <w:gridCol w:w="2250"/>
        <w:gridCol w:w="5762"/>
      </w:tblGrid>
      <w:tr w:rsidR="00CE59AD" w:rsidRPr="00C66EBD" w:rsidTr="00A55AE8">
        <w:trPr>
          <w:cantSplit/>
          <w:tblHeader/>
          <w:jc w:val="center"/>
        </w:trPr>
        <w:tc>
          <w:tcPr>
            <w:tcW w:w="10800" w:type="dxa"/>
            <w:gridSpan w:val="4"/>
            <w:tcBorders>
              <w:top w:val="double" w:sz="6" w:space="0" w:color="auto"/>
              <w:left w:val="double" w:sz="6" w:space="0" w:color="auto"/>
              <w:bottom w:val="single" w:sz="6" w:space="0" w:color="auto"/>
              <w:right w:val="double" w:sz="6" w:space="0" w:color="auto"/>
            </w:tcBorders>
            <w:shd w:val="pct20" w:color="auto" w:fill="FFFFFF"/>
          </w:tcPr>
          <w:p w:rsidR="00CE59AD" w:rsidRPr="00C66EBD" w:rsidRDefault="00CE59AD" w:rsidP="00C66EBD">
            <w:pPr>
              <w:widowControl w:val="0"/>
              <w:spacing w:before="60" w:after="60"/>
              <w:ind w:left="72" w:right="72"/>
              <w:jc w:val="center"/>
            </w:pPr>
            <w:r w:rsidRPr="00C66EBD">
              <w:rPr>
                <w:b/>
                <w:bCs/>
              </w:rPr>
              <w:t>EMISSION LIMITS</w:t>
            </w:r>
          </w:p>
        </w:tc>
      </w:tr>
      <w:tr w:rsidR="00C66EBD" w:rsidRPr="00C66EBD" w:rsidTr="00A55AE8">
        <w:trPr>
          <w:cantSplit/>
          <w:trHeight w:val="632"/>
          <w:tblHeader/>
          <w:jc w:val="center"/>
        </w:trPr>
        <w:tc>
          <w:tcPr>
            <w:tcW w:w="1616" w:type="dxa"/>
            <w:tcBorders>
              <w:top w:val="single" w:sz="6" w:space="0" w:color="auto"/>
              <w:left w:val="double" w:sz="6" w:space="0" w:color="auto"/>
              <w:bottom w:val="double" w:sz="6" w:space="0" w:color="auto"/>
              <w:right w:val="nil"/>
            </w:tcBorders>
            <w:shd w:val="pct20" w:color="auto" w:fill="FFFFFF"/>
            <w:vAlign w:val="center"/>
          </w:tcPr>
          <w:p w:rsidR="00CE59AD" w:rsidRPr="00C66EBD" w:rsidRDefault="00CE59AD" w:rsidP="00C66EBD">
            <w:pPr>
              <w:widowControl w:val="0"/>
              <w:spacing w:before="60" w:after="60"/>
              <w:ind w:left="72" w:right="72"/>
              <w:jc w:val="center"/>
            </w:pPr>
            <w:r w:rsidRPr="00C66EBD">
              <w:t>Emission Point No.</w:t>
            </w:r>
          </w:p>
        </w:tc>
        <w:tc>
          <w:tcPr>
            <w:tcW w:w="1172" w:type="dxa"/>
            <w:tcBorders>
              <w:top w:val="single" w:sz="6" w:space="0" w:color="auto"/>
              <w:left w:val="single" w:sz="6" w:space="0" w:color="auto"/>
              <w:bottom w:val="double" w:sz="6" w:space="0" w:color="auto"/>
              <w:right w:val="nil"/>
            </w:tcBorders>
            <w:shd w:val="pct20" w:color="auto" w:fill="FFFFFF"/>
            <w:vAlign w:val="center"/>
          </w:tcPr>
          <w:p w:rsidR="00CE59AD" w:rsidRPr="00C66EBD" w:rsidRDefault="00CE59AD" w:rsidP="00C66EBD">
            <w:pPr>
              <w:widowControl w:val="0"/>
              <w:spacing w:before="60" w:after="60"/>
              <w:ind w:left="72" w:right="72"/>
              <w:jc w:val="center"/>
            </w:pPr>
            <w:r w:rsidRPr="00C66EBD">
              <w:t>Pollutant</w:t>
            </w:r>
            <w:r w:rsidR="00465706" w:rsidRPr="00C66EBD">
              <w:t>/ Parameter</w:t>
            </w:r>
          </w:p>
        </w:tc>
        <w:tc>
          <w:tcPr>
            <w:tcW w:w="2250" w:type="dxa"/>
            <w:tcBorders>
              <w:top w:val="single" w:sz="6" w:space="0" w:color="auto"/>
              <w:left w:val="single" w:sz="6" w:space="0" w:color="auto"/>
              <w:bottom w:val="double" w:sz="6" w:space="0" w:color="auto"/>
              <w:right w:val="nil"/>
            </w:tcBorders>
            <w:shd w:val="pct20" w:color="auto" w:fill="FFFFFF"/>
            <w:vAlign w:val="center"/>
          </w:tcPr>
          <w:p w:rsidR="00CE59AD" w:rsidRPr="00C66EBD" w:rsidRDefault="00CE59AD" w:rsidP="00C66EBD">
            <w:pPr>
              <w:widowControl w:val="0"/>
              <w:spacing w:before="60" w:after="60"/>
              <w:ind w:left="72" w:right="72"/>
              <w:jc w:val="center"/>
            </w:pPr>
            <w:r w:rsidRPr="00C66EBD">
              <w:t>Draft Permit Emission Limits</w:t>
            </w:r>
          </w:p>
        </w:tc>
        <w:tc>
          <w:tcPr>
            <w:tcW w:w="5762" w:type="dxa"/>
            <w:tcBorders>
              <w:top w:val="single" w:sz="6" w:space="0" w:color="auto"/>
              <w:left w:val="single" w:sz="6" w:space="0" w:color="auto"/>
              <w:bottom w:val="double" w:sz="6" w:space="0" w:color="auto"/>
              <w:right w:val="double" w:sz="6" w:space="0" w:color="auto"/>
            </w:tcBorders>
            <w:shd w:val="pct20" w:color="auto" w:fill="FFFFFF"/>
            <w:vAlign w:val="center"/>
          </w:tcPr>
          <w:p w:rsidR="00CE59AD" w:rsidRPr="00C66EBD" w:rsidRDefault="00CE59AD" w:rsidP="00C66EBD">
            <w:pPr>
              <w:widowControl w:val="0"/>
              <w:spacing w:before="60" w:after="60"/>
              <w:ind w:left="72" w:right="72"/>
              <w:jc w:val="center"/>
            </w:pPr>
            <w:r w:rsidRPr="00C66EBD">
              <w:t>Monitoring Requirements</w:t>
            </w:r>
          </w:p>
        </w:tc>
      </w:tr>
      <w:tr w:rsidR="004C0422" w:rsidRPr="00C66EBD" w:rsidTr="00740B91">
        <w:trPr>
          <w:cantSplit/>
          <w:trHeight w:val="84"/>
          <w:jc w:val="center"/>
        </w:trPr>
        <w:tc>
          <w:tcPr>
            <w:tcW w:w="1616" w:type="dxa"/>
            <w:tcBorders>
              <w:top w:val="single" w:sz="4" w:space="0" w:color="auto"/>
              <w:left w:val="double" w:sz="6" w:space="0" w:color="auto"/>
              <w:bottom w:val="single" w:sz="4" w:space="0" w:color="auto"/>
              <w:right w:val="nil"/>
            </w:tcBorders>
          </w:tcPr>
          <w:p w:rsidR="00CE59AD" w:rsidRPr="00C66EBD" w:rsidRDefault="00CE59AD" w:rsidP="00C66EBD">
            <w:pPr>
              <w:widowControl w:val="0"/>
              <w:tabs>
                <w:tab w:val="left" w:pos="-1213"/>
                <w:tab w:val="left" w:pos="-720"/>
                <w:tab w:val="right" w:leader="dot" w:pos="0"/>
                <w:tab w:val="left" w:pos="720"/>
                <w:tab w:val="left" w:pos="1350"/>
                <w:tab w:val="left" w:pos="1980"/>
                <w:tab w:val="left" w:pos="2880"/>
                <w:tab w:val="left" w:pos="3420"/>
                <w:tab w:val="left" w:pos="4320"/>
              </w:tabs>
              <w:spacing w:before="60" w:after="60"/>
              <w:ind w:left="72" w:right="72"/>
              <w:jc w:val="center"/>
            </w:pPr>
            <w:r w:rsidRPr="00C66EBD">
              <w:t>AA-00</w:t>
            </w:r>
            <w:r w:rsidR="00465706" w:rsidRPr="00C66EBD">
              <w:t>1 through AA-006 and AA-012 through AA-014</w:t>
            </w:r>
          </w:p>
        </w:tc>
        <w:tc>
          <w:tcPr>
            <w:tcW w:w="1172" w:type="dxa"/>
            <w:tcBorders>
              <w:top w:val="single" w:sz="6" w:space="0" w:color="auto"/>
              <w:left w:val="single" w:sz="6" w:space="0" w:color="auto"/>
              <w:bottom w:val="single" w:sz="6" w:space="0" w:color="auto"/>
              <w:right w:val="nil"/>
            </w:tcBorders>
          </w:tcPr>
          <w:p w:rsidR="00CE59AD" w:rsidRPr="00C66EBD" w:rsidRDefault="00CE59AD" w:rsidP="00740B91">
            <w:pPr>
              <w:widowControl w:val="0"/>
              <w:tabs>
                <w:tab w:val="left" w:pos="-1213"/>
                <w:tab w:val="left" w:pos="-720"/>
                <w:tab w:val="right" w:leader="dot" w:pos="0"/>
                <w:tab w:val="left" w:pos="720"/>
                <w:tab w:val="left" w:pos="1350"/>
                <w:tab w:val="left" w:pos="1980"/>
                <w:tab w:val="left" w:pos="2880"/>
                <w:tab w:val="left" w:pos="3420"/>
                <w:tab w:val="left" w:pos="4320"/>
              </w:tabs>
              <w:spacing w:before="60" w:after="60"/>
              <w:ind w:left="72" w:right="72"/>
              <w:jc w:val="center"/>
              <w:rPr>
                <w:vertAlign w:val="subscript"/>
              </w:rPr>
            </w:pPr>
            <w:r w:rsidRPr="00C66EBD">
              <w:t>SO</w:t>
            </w:r>
            <w:r w:rsidRPr="00C66EBD">
              <w:rPr>
                <w:vertAlign w:val="subscript"/>
              </w:rPr>
              <w:t>2</w:t>
            </w:r>
          </w:p>
          <w:p w:rsidR="00CE59AD" w:rsidRPr="00C66EBD" w:rsidRDefault="00CE59AD" w:rsidP="00740B91">
            <w:pPr>
              <w:widowControl w:val="0"/>
              <w:tabs>
                <w:tab w:val="left" w:pos="-1213"/>
                <w:tab w:val="left" w:pos="-720"/>
                <w:tab w:val="right" w:leader="dot" w:pos="0"/>
                <w:tab w:val="left" w:pos="720"/>
                <w:tab w:val="left" w:pos="1350"/>
                <w:tab w:val="left" w:pos="1980"/>
                <w:tab w:val="left" w:pos="2880"/>
                <w:tab w:val="left" w:pos="3420"/>
                <w:tab w:val="left" w:pos="4320"/>
              </w:tabs>
              <w:spacing w:before="60" w:after="60"/>
              <w:ind w:left="72" w:right="72"/>
              <w:jc w:val="center"/>
            </w:pPr>
          </w:p>
          <w:p w:rsidR="00CE59AD" w:rsidRPr="00C66EBD" w:rsidRDefault="00CE59AD" w:rsidP="00740B91">
            <w:pPr>
              <w:widowControl w:val="0"/>
              <w:tabs>
                <w:tab w:val="left" w:pos="-1213"/>
                <w:tab w:val="left" w:pos="-720"/>
                <w:tab w:val="right" w:leader="dot" w:pos="0"/>
                <w:tab w:val="left" w:pos="720"/>
                <w:tab w:val="left" w:pos="1350"/>
                <w:tab w:val="left" w:pos="1980"/>
                <w:tab w:val="left" w:pos="2880"/>
                <w:tab w:val="left" w:pos="3420"/>
                <w:tab w:val="left" w:pos="4320"/>
              </w:tabs>
              <w:spacing w:before="60" w:after="60"/>
              <w:ind w:left="72" w:right="72"/>
              <w:jc w:val="center"/>
            </w:pPr>
          </w:p>
        </w:tc>
        <w:tc>
          <w:tcPr>
            <w:tcW w:w="2250" w:type="dxa"/>
            <w:tcBorders>
              <w:top w:val="single" w:sz="6" w:space="0" w:color="auto"/>
              <w:left w:val="single" w:sz="6" w:space="0" w:color="auto"/>
              <w:bottom w:val="single" w:sz="6" w:space="0" w:color="auto"/>
              <w:right w:val="nil"/>
            </w:tcBorders>
          </w:tcPr>
          <w:p w:rsidR="00CE59AD" w:rsidRPr="00C66EBD" w:rsidRDefault="00CE59AD" w:rsidP="00740B91">
            <w:pPr>
              <w:widowControl w:val="0"/>
              <w:tabs>
                <w:tab w:val="left" w:pos="-1213"/>
                <w:tab w:val="left" w:pos="-720"/>
                <w:tab w:val="right" w:leader="dot" w:pos="0"/>
                <w:tab w:val="left" w:pos="720"/>
                <w:tab w:val="left" w:pos="1350"/>
                <w:tab w:val="left" w:pos="1980"/>
                <w:tab w:val="left" w:pos="2880"/>
                <w:tab w:val="left" w:pos="3420"/>
                <w:tab w:val="left" w:pos="4320"/>
              </w:tabs>
              <w:spacing w:before="60" w:after="60"/>
              <w:ind w:left="72" w:right="72"/>
            </w:pPr>
            <w:r w:rsidRPr="00C66EBD">
              <w:t>4.8 lb/MMBTU</w:t>
            </w:r>
          </w:p>
          <w:p w:rsidR="00CE59AD" w:rsidRPr="00C66EBD" w:rsidRDefault="00CE59AD" w:rsidP="00740B91">
            <w:pPr>
              <w:widowControl w:val="0"/>
              <w:tabs>
                <w:tab w:val="left" w:pos="-1213"/>
                <w:tab w:val="left" w:pos="-720"/>
                <w:tab w:val="right" w:leader="dot" w:pos="0"/>
                <w:tab w:val="left" w:pos="720"/>
                <w:tab w:val="left" w:pos="1350"/>
                <w:tab w:val="left" w:pos="1980"/>
                <w:tab w:val="left" w:pos="2880"/>
                <w:tab w:val="left" w:pos="3420"/>
                <w:tab w:val="left" w:pos="4320"/>
              </w:tabs>
              <w:spacing w:before="60" w:after="60"/>
              <w:ind w:left="72" w:right="72"/>
              <w:jc w:val="center"/>
            </w:pPr>
          </w:p>
          <w:p w:rsidR="00CE59AD" w:rsidRPr="00C66EBD" w:rsidRDefault="00CE59AD" w:rsidP="00740B91">
            <w:pPr>
              <w:widowControl w:val="0"/>
              <w:tabs>
                <w:tab w:val="left" w:pos="-1213"/>
                <w:tab w:val="left" w:pos="-720"/>
                <w:tab w:val="right" w:leader="dot" w:pos="0"/>
                <w:tab w:val="left" w:pos="720"/>
                <w:tab w:val="left" w:pos="1350"/>
                <w:tab w:val="left" w:pos="1980"/>
                <w:tab w:val="left" w:pos="2880"/>
                <w:tab w:val="left" w:pos="3420"/>
                <w:tab w:val="left" w:pos="4320"/>
              </w:tabs>
              <w:spacing w:before="60" w:after="60"/>
              <w:ind w:left="72" w:right="72"/>
              <w:jc w:val="center"/>
            </w:pPr>
          </w:p>
        </w:tc>
        <w:tc>
          <w:tcPr>
            <w:tcW w:w="5762" w:type="dxa"/>
            <w:tcBorders>
              <w:top w:val="single" w:sz="6" w:space="0" w:color="auto"/>
              <w:left w:val="single" w:sz="6" w:space="0" w:color="auto"/>
              <w:bottom w:val="single" w:sz="6" w:space="0" w:color="auto"/>
              <w:right w:val="double" w:sz="6" w:space="0" w:color="auto"/>
            </w:tcBorders>
          </w:tcPr>
          <w:p w:rsidR="00465706" w:rsidRPr="00C66EBD" w:rsidRDefault="00465706" w:rsidP="00C66EBD">
            <w:pPr>
              <w:pStyle w:val="Heading4"/>
              <w:keepNext w:val="0"/>
              <w:widowControl w:val="0"/>
              <w:spacing w:before="60" w:after="60"/>
              <w:ind w:left="72" w:right="72" w:firstLine="0"/>
              <w:rPr>
                <w:color w:val="000000"/>
                <w:sz w:val="20"/>
                <w:szCs w:val="20"/>
              </w:rPr>
            </w:pPr>
            <w:r w:rsidRPr="00C66EBD">
              <w:rPr>
                <w:color w:val="000000"/>
                <w:sz w:val="20"/>
                <w:szCs w:val="20"/>
              </w:rPr>
              <w:t>Monitor and record fuel type, quantity, and quality monthly.</w:t>
            </w:r>
          </w:p>
          <w:p w:rsidR="00CE59AD" w:rsidRPr="00C66EBD" w:rsidRDefault="00CE59AD" w:rsidP="00C66EBD">
            <w:pPr>
              <w:pStyle w:val="Heading4"/>
              <w:keepNext w:val="0"/>
              <w:widowControl w:val="0"/>
              <w:spacing w:before="60" w:after="60"/>
              <w:ind w:left="72" w:right="72" w:firstLine="0"/>
              <w:rPr>
                <w:color w:val="000000"/>
                <w:sz w:val="20"/>
                <w:szCs w:val="20"/>
              </w:rPr>
            </w:pPr>
            <w:r w:rsidRPr="00C66EBD">
              <w:rPr>
                <w:color w:val="000000"/>
                <w:sz w:val="20"/>
                <w:szCs w:val="20"/>
              </w:rPr>
              <w:t>Monitor natural gas in accordance with the custom fuel</w:t>
            </w:r>
            <w:r w:rsidR="004C0422" w:rsidRPr="00C66EBD">
              <w:rPr>
                <w:color w:val="000000"/>
                <w:sz w:val="20"/>
                <w:szCs w:val="20"/>
              </w:rPr>
              <w:t xml:space="preserve"> </w:t>
            </w:r>
            <w:r w:rsidRPr="00C66EBD">
              <w:rPr>
                <w:color w:val="000000"/>
                <w:sz w:val="20"/>
                <w:szCs w:val="20"/>
              </w:rPr>
              <w:t>monitoring plan</w:t>
            </w:r>
            <w:r w:rsidR="00465706" w:rsidRPr="00C66EBD">
              <w:rPr>
                <w:color w:val="000000"/>
                <w:sz w:val="20"/>
                <w:szCs w:val="20"/>
              </w:rPr>
              <w:t>,</w:t>
            </w:r>
            <w:r w:rsidRPr="00C66EBD">
              <w:rPr>
                <w:color w:val="000000"/>
                <w:sz w:val="20"/>
                <w:szCs w:val="20"/>
              </w:rPr>
              <w:t xml:space="preserve"> and RFG (&lt;160 ppmv H</w:t>
            </w:r>
            <w:r w:rsidRPr="00C66EBD">
              <w:rPr>
                <w:color w:val="000000"/>
                <w:sz w:val="20"/>
                <w:szCs w:val="20"/>
                <w:vertAlign w:val="subscript"/>
              </w:rPr>
              <w:t>2</w:t>
            </w:r>
            <w:r w:rsidRPr="00C66EBD">
              <w:rPr>
                <w:color w:val="000000"/>
                <w:sz w:val="20"/>
                <w:szCs w:val="20"/>
              </w:rPr>
              <w:t xml:space="preserve">S or 0.0265 lb/MMBTU) will be based on monitoring data collected from Chevron Refinery.  </w:t>
            </w:r>
          </w:p>
        </w:tc>
      </w:tr>
      <w:tr w:rsidR="00465706" w:rsidRPr="00C66EBD" w:rsidTr="00A55AE8">
        <w:trPr>
          <w:cantSplit/>
          <w:trHeight w:val="84"/>
          <w:jc w:val="center"/>
        </w:trPr>
        <w:tc>
          <w:tcPr>
            <w:tcW w:w="1616" w:type="dxa"/>
            <w:tcBorders>
              <w:top w:val="single" w:sz="4" w:space="0" w:color="auto"/>
              <w:left w:val="double" w:sz="6" w:space="0" w:color="auto"/>
              <w:bottom w:val="single" w:sz="4" w:space="0" w:color="auto"/>
              <w:right w:val="nil"/>
            </w:tcBorders>
          </w:tcPr>
          <w:p w:rsidR="00465706" w:rsidRPr="00C66EBD" w:rsidRDefault="00465706" w:rsidP="00C66EBD">
            <w:pPr>
              <w:widowControl w:val="0"/>
              <w:spacing w:before="60" w:after="60"/>
              <w:ind w:left="72" w:right="72"/>
              <w:jc w:val="center"/>
            </w:pPr>
            <w:r w:rsidRPr="00C66EBD">
              <w:t>AA-001 through AA-004 and AA-006</w:t>
            </w:r>
          </w:p>
        </w:tc>
        <w:tc>
          <w:tcPr>
            <w:tcW w:w="1172" w:type="dxa"/>
            <w:tcBorders>
              <w:top w:val="single" w:sz="6" w:space="0" w:color="auto"/>
              <w:left w:val="single" w:sz="6" w:space="0" w:color="auto"/>
              <w:bottom w:val="single" w:sz="6" w:space="0" w:color="auto"/>
              <w:right w:val="nil"/>
            </w:tcBorders>
          </w:tcPr>
          <w:p w:rsidR="00465706" w:rsidRPr="00C66EBD" w:rsidRDefault="00465706" w:rsidP="00C66EBD">
            <w:pPr>
              <w:widowControl w:val="0"/>
              <w:spacing w:before="60" w:after="60"/>
              <w:ind w:left="72" w:right="72"/>
              <w:jc w:val="center"/>
              <w:rPr>
                <w:bCs/>
                <w:color w:val="000000"/>
              </w:rPr>
            </w:pPr>
            <w:r w:rsidRPr="00C66EBD">
              <w:rPr>
                <w:bCs/>
                <w:color w:val="000000"/>
              </w:rPr>
              <w:t>PM/PM</w:t>
            </w:r>
            <w:r w:rsidRPr="00C66EBD">
              <w:rPr>
                <w:bCs/>
                <w:color w:val="000000"/>
                <w:vertAlign w:val="subscript"/>
              </w:rPr>
              <w:t>10</w:t>
            </w:r>
          </w:p>
        </w:tc>
        <w:tc>
          <w:tcPr>
            <w:tcW w:w="2250" w:type="dxa"/>
            <w:tcBorders>
              <w:top w:val="single" w:sz="6" w:space="0" w:color="auto"/>
              <w:left w:val="single" w:sz="6" w:space="0" w:color="auto"/>
              <w:bottom w:val="single" w:sz="6" w:space="0" w:color="auto"/>
              <w:right w:val="nil"/>
            </w:tcBorders>
          </w:tcPr>
          <w:p w:rsidR="00465706" w:rsidRPr="00C66EBD" w:rsidRDefault="00465706" w:rsidP="00C66EBD">
            <w:pPr>
              <w:widowControl w:val="0"/>
              <w:spacing w:before="60" w:after="60"/>
              <w:ind w:left="72" w:right="72"/>
              <w:rPr>
                <w:bCs/>
                <w:color w:val="000000"/>
              </w:rPr>
            </w:pPr>
            <w:r w:rsidRPr="00C66EBD">
              <w:rPr>
                <w:bCs/>
                <w:color w:val="000000"/>
              </w:rPr>
              <w:t>E=0.8808*I</w:t>
            </w:r>
            <w:r w:rsidRPr="00C66EBD">
              <w:rPr>
                <w:bCs/>
                <w:color w:val="000000"/>
                <w:vertAlign w:val="superscript"/>
              </w:rPr>
              <w:t>-0.1667</w:t>
            </w:r>
          </w:p>
        </w:tc>
        <w:tc>
          <w:tcPr>
            <w:tcW w:w="5762" w:type="dxa"/>
            <w:tcBorders>
              <w:top w:val="single" w:sz="6" w:space="0" w:color="auto"/>
              <w:left w:val="single" w:sz="6" w:space="0" w:color="auto"/>
              <w:bottom w:val="single" w:sz="6" w:space="0" w:color="auto"/>
              <w:right w:val="double" w:sz="6" w:space="0" w:color="auto"/>
            </w:tcBorders>
          </w:tcPr>
          <w:p w:rsidR="00465706" w:rsidRPr="00C66EBD" w:rsidRDefault="00465706" w:rsidP="00C66EBD">
            <w:pPr>
              <w:pStyle w:val="Heading4"/>
              <w:keepNext w:val="0"/>
              <w:widowControl w:val="0"/>
              <w:spacing w:before="60" w:after="60"/>
              <w:ind w:left="72" w:right="72" w:firstLine="0"/>
              <w:rPr>
                <w:color w:val="000000"/>
                <w:sz w:val="20"/>
                <w:szCs w:val="20"/>
              </w:rPr>
            </w:pPr>
            <w:r w:rsidRPr="00C66EBD">
              <w:rPr>
                <w:color w:val="000000"/>
                <w:sz w:val="20"/>
                <w:szCs w:val="20"/>
              </w:rPr>
              <w:t>Monitor and record fuel type, quantity, and quality monthly.</w:t>
            </w:r>
          </w:p>
        </w:tc>
      </w:tr>
      <w:tr w:rsidR="00465706" w:rsidRPr="00C66EBD" w:rsidTr="00A55AE8">
        <w:trPr>
          <w:cantSplit/>
          <w:trHeight w:val="84"/>
          <w:jc w:val="center"/>
        </w:trPr>
        <w:tc>
          <w:tcPr>
            <w:tcW w:w="1616" w:type="dxa"/>
            <w:tcBorders>
              <w:top w:val="single" w:sz="4" w:space="0" w:color="auto"/>
              <w:left w:val="double" w:sz="6" w:space="0" w:color="auto"/>
              <w:bottom w:val="single" w:sz="4" w:space="0" w:color="auto"/>
              <w:right w:val="nil"/>
            </w:tcBorders>
          </w:tcPr>
          <w:p w:rsidR="00465706" w:rsidRPr="00C66EBD" w:rsidRDefault="00465706" w:rsidP="00C66EBD">
            <w:pPr>
              <w:widowControl w:val="0"/>
              <w:spacing w:before="60" w:after="60"/>
              <w:ind w:left="72" w:right="72"/>
              <w:jc w:val="center"/>
            </w:pPr>
            <w:r w:rsidRPr="00C66EBD">
              <w:t>AA-001 through AA-004</w:t>
            </w:r>
          </w:p>
        </w:tc>
        <w:tc>
          <w:tcPr>
            <w:tcW w:w="1172" w:type="dxa"/>
            <w:tcBorders>
              <w:top w:val="single" w:sz="6" w:space="0" w:color="auto"/>
              <w:left w:val="single" w:sz="6" w:space="0" w:color="auto"/>
              <w:bottom w:val="single" w:sz="6" w:space="0" w:color="auto"/>
              <w:right w:val="nil"/>
            </w:tcBorders>
          </w:tcPr>
          <w:p w:rsidR="00465706" w:rsidRPr="00C66EBD" w:rsidRDefault="00465706" w:rsidP="00C66EBD">
            <w:pPr>
              <w:widowControl w:val="0"/>
              <w:spacing w:before="60" w:after="60"/>
              <w:ind w:left="72" w:right="72"/>
              <w:jc w:val="center"/>
            </w:pPr>
            <w:r w:rsidRPr="00C66EBD">
              <w:t>Fuel Restriction</w:t>
            </w:r>
          </w:p>
        </w:tc>
        <w:tc>
          <w:tcPr>
            <w:tcW w:w="2250" w:type="dxa"/>
            <w:tcBorders>
              <w:top w:val="single" w:sz="6" w:space="0" w:color="auto"/>
              <w:left w:val="single" w:sz="6" w:space="0" w:color="auto"/>
              <w:bottom w:val="single" w:sz="6" w:space="0" w:color="auto"/>
              <w:right w:val="nil"/>
            </w:tcBorders>
          </w:tcPr>
          <w:p w:rsidR="00465706" w:rsidRPr="00C66EBD" w:rsidRDefault="00465706" w:rsidP="00C66EBD">
            <w:pPr>
              <w:widowControl w:val="0"/>
              <w:tabs>
                <w:tab w:val="left" w:pos="-1213"/>
                <w:tab w:val="left" w:pos="-720"/>
                <w:tab w:val="right" w:leader="dot" w:pos="0"/>
                <w:tab w:val="left" w:pos="720"/>
                <w:tab w:val="left" w:pos="1350"/>
                <w:tab w:val="left" w:pos="1980"/>
                <w:tab w:val="left" w:pos="2880"/>
                <w:tab w:val="left" w:pos="3420"/>
                <w:tab w:val="left" w:pos="4320"/>
              </w:tabs>
              <w:spacing w:before="60" w:after="60"/>
              <w:ind w:left="72" w:right="72"/>
            </w:pPr>
            <w:r w:rsidRPr="00C66EBD">
              <w:t>Natural Gas or Refinery Fuel Gas only</w:t>
            </w:r>
          </w:p>
        </w:tc>
        <w:tc>
          <w:tcPr>
            <w:tcW w:w="5762" w:type="dxa"/>
            <w:tcBorders>
              <w:top w:val="single" w:sz="6" w:space="0" w:color="auto"/>
              <w:left w:val="single" w:sz="6" w:space="0" w:color="auto"/>
              <w:bottom w:val="single" w:sz="6" w:space="0" w:color="auto"/>
              <w:right w:val="double" w:sz="6" w:space="0" w:color="auto"/>
            </w:tcBorders>
          </w:tcPr>
          <w:p w:rsidR="00465706" w:rsidRPr="00C66EBD" w:rsidRDefault="00465706" w:rsidP="00C66EBD">
            <w:pPr>
              <w:pStyle w:val="Heading4"/>
              <w:keepNext w:val="0"/>
              <w:widowControl w:val="0"/>
              <w:spacing w:before="60" w:after="60"/>
              <w:ind w:left="72" w:right="72" w:firstLine="0"/>
              <w:rPr>
                <w:color w:val="000000"/>
                <w:sz w:val="20"/>
                <w:szCs w:val="20"/>
              </w:rPr>
            </w:pPr>
            <w:r w:rsidRPr="00C66EBD">
              <w:rPr>
                <w:sz w:val="20"/>
                <w:szCs w:val="20"/>
              </w:rPr>
              <w:t>Monitor and record fuel type, quantity, quality (sulfur content), and heating value (Btu/ft3) of fuel(s) burned monthly.</w:t>
            </w:r>
          </w:p>
        </w:tc>
      </w:tr>
      <w:tr w:rsidR="00465706" w:rsidRPr="00C66EBD" w:rsidTr="004C0422">
        <w:trPr>
          <w:cantSplit/>
          <w:trHeight w:val="84"/>
          <w:jc w:val="center"/>
        </w:trPr>
        <w:tc>
          <w:tcPr>
            <w:tcW w:w="1616" w:type="dxa"/>
            <w:tcBorders>
              <w:top w:val="single" w:sz="4" w:space="0" w:color="auto"/>
              <w:left w:val="double" w:sz="6" w:space="0" w:color="auto"/>
              <w:bottom w:val="single" w:sz="4" w:space="0" w:color="auto"/>
              <w:right w:val="nil"/>
            </w:tcBorders>
          </w:tcPr>
          <w:p w:rsidR="00465706" w:rsidRPr="00C66EBD" w:rsidRDefault="00465706" w:rsidP="00C66EBD">
            <w:pPr>
              <w:widowControl w:val="0"/>
              <w:spacing w:before="60" w:after="60"/>
              <w:ind w:left="72" w:right="72"/>
              <w:jc w:val="center"/>
            </w:pPr>
            <w:r w:rsidRPr="00C66EBD">
              <w:t>AA-005</w:t>
            </w:r>
          </w:p>
        </w:tc>
        <w:tc>
          <w:tcPr>
            <w:tcW w:w="1172" w:type="dxa"/>
            <w:tcBorders>
              <w:top w:val="single" w:sz="6" w:space="0" w:color="auto"/>
              <w:left w:val="single" w:sz="6" w:space="0" w:color="auto"/>
              <w:bottom w:val="single" w:sz="6" w:space="0" w:color="auto"/>
              <w:right w:val="nil"/>
            </w:tcBorders>
          </w:tcPr>
          <w:p w:rsidR="00465706" w:rsidRPr="00C66EBD" w:rsidRDefault="00465706" w:rsidP="00C66EBD">
            <w:pPr>
              <w:widowControl w:val="0"/>
              <w:tabs>
                <w:tab w:val="left" w:pos="-1213"/>
                <w:tab w:val="left" w:pos="-720"/>
                <w:tab w:val="right" w:leader="dot" w:pos="0"/>
                <w:tab w:val="left" w:pos="720"/>
                <w:tab w:val="left" w:pos="1350"/>
                <w:tab w:val="left" w:pos="1980"/>
                <w:tab w:val="left" w:pos="2880"/>
                <w:tab w:val="left" w:pos="3420"/>
                <w:tab w:val="left" w:pos="4320"/>
              </w:tabs>
              <w:spacing w:before="60" w:after="60"/>
              <w:ind w:left="72" w:right="72"/>
              <w:jc w:val="center"/>
            </w:pPr>
            <w:r w:rsidRPr="00C66EBD">
              <w:t>PM/PM</w:t>
            </w:r>
            <w:r w:rsidRPr="00C66EBD">
              <w:rPr>
                <w:vertAlign w:val="subscript"/>
              </w:rPr>
              <w:t>10</w:t>
            </w:r>
          </w:p>
        </w:tc>
        <w:tc>
          <w:tcPr>
            <w:tcW w:w="2250" w:type="dxa"/>
            <w:tcBorders>
              <w:top w:val="single" w:sz="6" w:space="0" w:color="auto"/>
              <w:left w:val="single" w:sz="6" w:space="0" w:color="auto"/>
              <w:bottom w:val="single" w:sz="6" w:space="0" w:color="auto"/>
              <w:right w:val="nil"/>
            </w:tcBorders>
          </w:tcPr>
          <w:p w:rsidR="00465706" w:rsidRPr="00C66EBD" w:rsidRDefault="00465706" w:rsidP="00C66EBD">
            <w:pPr>
              <w:widowControl w:val="0"/>
              <w:tabs>
                <w:tab w:val="left" w:pos="-1213"/>
                <w:tab w:val="left" w:pos="-720"/>
                <w:tab w:val="right" w:leader="dot" w:pos="0"/>
                <w:tab w:val="left" w:pos="720"/>
                <w:tab w:val="left" w:pos="1350"/>
                <w:tab w:val="left" w:pos="1980"/>
                <w:tab w:val="left" w:pos="2880"/>
                <w:tab w:val="left" w:pos="3420"/>
                <w:tab w:val="left" w:pos="4320"/>
              </w:tabs>
              <w:spacing w:before="60" w:after="60"/>
              <w:ind w:left="72" w:right="72"/>
            </w:pPr>
            <w:r w:rsidRPr="00C66EBD">
              <w:t>13.0 lb/hr and 56.9 TPY</w:t>
            </w:r>
          </w:p>
        </w:tc>
        <w:tc>
          <w:tcPr>
            <w:tcW w:w="5762" w:type="dxa"/>
            <w:tcBorders>
              <w:top w:val="single" w:sz="6" w:space="0" w:color="auto"/>
              <w:left w:val="single" w:sz="6" w:space="0" w:color="auto"/>
              <w:bottom w:val="single" w:sz="6" w:space="0" w:color="auto"/>
              <w:right w:val="double" w:sz="6" w:space="0" w:color="auto"/>
            </w:tcBorders>
          </w:tcPr>
          <w:p w:rsidR="00465706" w:rsidRPr="00C66EBD" w:rsidRDefault="00465706" w:rsidP="00C66EBD">
            <w:pPr>
              <w:pStyle w:val="Heading4"/>
              <w:keepNext w:val="0"/>
              <w:widowControl w:val="0"/>
              <w:spacing w:before="60" w:after="60"/>
              <w:ind w:left="72" w:right="72" w:firstLine="0"/>
              <w:rPr>
                <w:sz w:val="20"/>
                <w:szCs w:val="20"/>
              </w:rPr>
            </w:pPr>
            <w:r w:rsidRPr="00C66EBD">
              <w:rPr>
                <w:sz w:val="20"/>
                <w:szCs w:val="20"/>
              </w:rPr>
              <w:t>Perform biennial stack testing to demonstrate compliance.</w:t>
            </w:r>
          </w:p>
        </w:tc>
      </w:tr>
      <w:tr w:rsidR="00465706" w:rsidRPr="00C66EBD" w:rsidTr="004C0422">
        <w:trPr>
          <w:cantSplit/>
          <w:trHeight w:val="84"/>
          <w:jc w:val="center"/>
        </w:trPr>
        <w:tc>
          <w:tcPr>
            <w:tcW w:w="1616" w:type="dxa"/>
            <w:tcBorders>
              <w:top w:val="single" w:sz="4" w:space="0" w:color="auto"/>
              <w:left w:val="double" w:sz="6" w:space="0" w:color="auto"/>
              <w:bottom w:val="single" w:sz="4" w:space="0" w:color="auto"/>
              <w:right w:val="nil"/>
            </w:tcBorders>
          </w:tcPr>
          <w:p w:rsidR="00465706" w:rsidRPr="00C66EBD" w:rsidRDefault="00465706" w:rsidP="00C66EBD">
            <w:pPr>
              <w:widowControl w:val="0"/>
              <w:spacing w:before="60" w:after="60"/>
              <w:ind w:left="72" w:right="72"/>
              <w:jc w:val="center"/>
            </w:pPr>
            <w:r w:rsidRPr="00C66EBD">
              <w:t>AA-005</w:t>
            </w:r>
          </w:p>
        </w:tc>
        <w:tc>
          <w:tcPr>
            <w:tcW w:w="1172" w:type="dxa"/>
            <w:tcBorders>
              <w:top w:val="single" w:sz="6" w:space="0" w:color="auto"/>
              <w:left w:val="single" w:sz="6" w:space="0" w:color="auto"/>
              <w:bottom w:val="single" w:sz="6" w:space="0" w:color="auto"/>
              <w:right w:val="nil"/>
            </w:tcBorders>
          </w:tcPr>
          <w:p w:rsidR="00465706" w:rsidRPr="00C66EBD" w:rsidRDefault="00465706" w:rsidP="00C66EBD">
            <w:pPr>
              <w:widowControl w:val="0"/>
              <w:tabs>
                <w:tab w:val="left" w:pos="-1213"/>
                <w:tab w:val="left" w:pos="-720"/>
                <w:tab w:val="right" w:leader="dot" w:pos="0"/>
                <w:tab w:val="left" w:pos="720"/>
                <w:tab w:val="left" w:pos="1350"/>
                <w:tab w:val="left" w:pos="1980"/>
                <w:tab w:val="left" w:pos="2880"/>
                <w:tab w:val="left" w:pos="3420"/>
                <w:tab w:val="left" w:pos="4320"/>
              </w:tabs>
              <w:spacing w:before="60" w:after="60"/>
              <w:ind w:left="72" w:right="72"/>
              <w:jc w:val="center"/>
            </w:pPr>
            <w:r w:rsidRPr="00C66EBD">
              <w:t>NO</w:t>
            </w:r>
            <w:r w:rsidRPr="00C66EBD">
              <w:rPr>
                <w:vertAlign w:val="subscript"/>
              </w:rPr>
              <w:t>X</w:t>
            </w:r>
          </w:p>
        </w:tc>
        <w:tc>
          <w:tcPr>
            <w:tcW w:w="2250" w:type="dxa"/>
            <w:tcBorders>
              <w:top w:val="single" w:sz="6" w:space="0" w:color="auto"/>
              <w:left w:val="single" w:sz="6" w:space="0" w:color="auto"/>
              <w:bottom w:val="single" w:sz="6" w:space="0" w:color="auto"/>
              <w:right w:val="nil"/>
            </w:tcBorders>
          </w:tcPr>
          <w:p w:rsidR="00465706" w:rsidRPr="00C66EBD" w:rsidRDefault="00465706" w:rsidP="00C66EBD">
            <w:pPr>
              <w:widowControl w:val="0"/>
              <w:tabs>
                <w:tab w:val="left" w:pos="-1213"/>
                <w:tab w:val="left" w:pos="-720"/>
                <w:tab w:val="right" w:leader="dot" w:pos="0"/>
                <w:tab w:val="left" w:pos="720"/>
                <w:tab w:val="left" w:pos="1350"/>
                <w:tab w:val="left" w:pos="1980"/>
                <w:tab w:val="left" w:pos="2880"/>
                <w:tab w:val="left" w:pos="3420"/>
                <w:tab w:val="left" w:pos="4320"/>
              </w:tabs>
              <w:spacing w:before="60" w:after="60"/>
              <w:ind w:left="72" w:right="72"/>
            </w:pPr>
            <w:r w:rsidRPr="00C66EBD">
              <w:t>60.0 lb/hr and 262.8 TPY, not to exceed 15 ppmvd @ 15% O</w:t>
            </w:r>
            <w:r w:rsidRPr="00C66EBD">
              <w:rPr>
                <w:vertAlign w:val="subscript"/>
              </w:rPr>
              <w:t xml:space="preserve">2 </w:t>
            </w:r>
            <w:r w:rsidRPr="00C66EBD">
              <w:t>during relative full load operation</w:t>
            </w:r>
          </w:p>
        </w:tc>
        <w:tc>
          <w:tcPr>
            <w:tcW w:w="5762" w:type="dxa"/>
            <w:tcBorders>
              <w:top w:val="single" w:sz="6" w:space="0" w:color="auto"/>
              <w:left w:val="single" w:sz="6" w:space="0" w:color="auto"/>
              <w:bottom w:val="single" w:sz="6" w:space="0" w:color="auto"/>
              <w:right w:val="double" w:sz="6" w:space="0" w:color="auto"/>
            </w:tcBorders>
          </w:tcPr>
          <w:p w:rsidR="004C0422" w:rsidRPr="00C66EBD" w:rsidRDefault="004C0422" w:rsidP="00C66EBD">
            <w:pPr>
              <w:pStyle w:val="Heading4"/>
              <w:keepNext w:val="0"/>
              <w:widowControl w:val="0"/>
              <w:spacing w:before="60" w:after="60"/>
              <w:ind w:left="72" w:right="72" w:firstLine="0"/>
              <w:rPr>
                <w:sz w:val="20"/>
                <w:szCs w:val="20"/>
              </w:rPr>
            </w:pPr>
            <w:r w:rsidRPr="00C66EBD">
              <w:rPr>
                <w:sz w:val="20"/>
                <w:szCs w:val="20"/>
              </w:rPr>
              <w:t>M</w:t>
            </w:r>
            <w:r w:rsidR="00465706" w:rsidRPr="00C66EBD">
              <w:rPr>
                <w:sz w:val="20"/>
                <w:szCs w:val="20"/>
              </w:rPr>
              <w:t>onitor and record emissions and parameters (e.g., CEMS) in</w:t>
            </w:r>
            <w:r w:rsidRPr="00C66EBD">
              <w:rPr>
                <w:sz w:val="20"/>
                <w:szCs w:val="20"/>
              </w:rPr>
              <w:t xml:space="preserve"> </w:t>
            </w:r>
            <w:r w:rsidR="00465706" w:rsidRPr="00C66EBD">
              <w:rPr>
                <w:sz w:val="20"/>
                <w:szCs w:val="20"/>
              </w:rPr>
              <w:t>a</w:t>
            </w:r>
            <w:r w:rsidRPr="00C66EBD">
              <w:rPr>
                <w:sz w:val="20"/>
                <w:szCs w:val="20"/>
              </w:rPr>
              <w:t xml:space="preserve">ccordance with 40 CFR Part 75 </w:t>
            </w:r>
            <w:r w:rsidR="00465706" w:rsidRPr="00C66EBD">
              <w:rPr>
                <w:sz w:val="20"/>
                <w:szCs w:val="20"/>
              </w:rPr>
              <w:t>(e.g., §75.10-18, 20-57, etc.).</w:t>
            </w:r>
            <w:r w:rsidRPr="00C66EBD">
              <w:rPr>
                <w:sz w:val="20"/>
                <w:szCs w:val="20"/>
              </w:rPr>
              <w:t xml:space="preserve">  I</w:t>
            </w:r>
            <w:r w:rsidR="00465706" w:rsidRPr="00C66EBD">
              <w:rPr>
                <w:sz w:val="20"/>
                <w:szCs w:val="20"/>
              </w:rPr>
              <w:t>nstall, calibrate, maintain, and operate a continuous monitor (CEMS) to monitor NOX and CO2 e</w:t>
            </w:r>
            <w:r w:rsidRPr="00C66EBD">
              <w:rPr>
                <w:sz w:val="20"/>
                <w:szCs w:val="20"/>
              </w:rPr>
              <w:t xml:space="preserve">missions (40 CFR Part 75).  </w:t>
            </w:r>
          </w:p>
          <w:p w:rsidR="00465706" w:rsidRPr="00C66EBD" w:rsidRDefault="004C0422" w:rsidP="00C66EBD">
            <w:pPr>
              <w:pStyle w:val="Heading4"/>
              <w:keepNext w:val="0"/>
              <w:widowControl w:val="0"/>
              <w:spacing w:before="60" w:after="60"/>
              <w:ind w:left="72" w:right="72" w:firstLine="0"/>
              <w:rPr>
                <w:sz w:val="20"/>
                <w:szCs w:val="20"/>
              </w:rPr>
            </w:pPr>
            <w:r w:rsidRPr="00C66EBD">
              <w:rPr>
                <w:sz w:val="20"/>
                <w:szCs w:val="20"/>
              </w:rPr>
              <w:t>C</w:t>
            </w:r>
            <w:r w:rsidR="00465706" w:rsidRPr="00C66EBD">
              <w:rPr>
                <w:sz w:val="20"/>
                <w:szCs w:val="20"/>
              </w:rPr>
              <w:t>ompliance with the conditions of 40 CFR 75 is considered compliance with NOX monitoring conditions of 40 CFR 60 Subpart GG.  The Custom Fuel Monitoring Plan further details this requirement.  The CEMS shall be used to meet these requirements of Subpart GG, except that the missing data substitution methodology provided for in 40 CFR Part 75, Subpart D, is not required for purposes of identifying excess emissions.  Instead, periods of missing CEMS data shall be reported as monitor downtime in the excess emissions and monitoring performance report required by §60.7(c).</w:t>
            </w:r>
          </w:p>
          <w:p w:rsidR="00465706" w:rsidRPr="00C66EBD" w:rsidRDefault="004C0422" w:rsidP="00C66EBD">
            <w:pPr>
              <w:pStyle w:val="Footer"/>
              <w:widowControl w:val="0"/>
              <w:tabs>
                <w:tab w:val="clear" w:pos="4320"/>
                <w:tab w:val="clear" w:pos="8640"/>
              </w:tabs>
              <w:spacing w:before="60" w:after="60"/>
              <w:ind w:left="72" w:right="72"/>
            </w:pPr>
            <w:r w:rsidRPr="00C66EBD">
              <w:t>Perform biennial stack testing to demonstrate compliance.</w:t>
            </w:r>
          </w:p>
        </w:tc>
      </w:tr>
      <w:tr w:rsidR="00465706" w:rsidRPr="00C66EBD" w:rsidTr="004C0422">
        <w:trPr>
          <w:cantSplit/>
          <w:trHeight w:val="84"/>
          <w:jc w:val="center"/>
        </w:trPr>
        <w:tc>
          <w:tcPr>
            <w:tcW w:w="1616" w:type="dxa"/>
            <w:tcBorders>
              <w:top w:val="single" w:sz="4" w:space="0" w:color="auto"/>
              <w:left w:val="double" w:sz="6" w:space="0" w:color="auto"/>
              <w:bottom w:val="single" w:sz="4" w:space="0" w:color="auto"/>
              <w:right w:val="nil"/>
            </w:tcBorders>
          </w:tcPr>
          <w:p w:rsidR="00465706" w:rsidRPr="00C66EBD" w:rsidRDefault="004C0422" w:rsidP="00C66EBD">
            <w:pPr>
              <w:widowControl w:val="0"/>
              <w:spacing w:before="60" w:after="60"/>
              <w:ind w:left="72" w:right="72"/>
              <w:jc w:val="center"/>
            </w:pPr>
            <w:r w:rsidRPr="00C66EBD">
              <w:t>AA-005</w:t>
            </w:r>
          </w:p>
        </w:tc>
        <w:tc>
          <w:tcPr>
            <w:tcW w:w="1172" w:type="dxa"/>
            <w:tcBorders>
              <w:top w:val="single" w:sz="6" w:space="0" w:color="auto"/>
              <w:left w:val="single" w:sz="6" w:space="0" w:color="auto"/>
              <w:bottom w:val="single" w:sz="6" w:space="0" w:color="auto"/>
              <w:right w:val="nil"/>
            </w:tcBorders>
          </w:tcPr>
          <w:p w:rsidR="00465706" w:rsidRPr="00C66EBD" w:rsidRDefault="00465706" w:rsidP="00C66EBD">
            <w:pPr>
              <w:widowControl w:val="0"/>
              <w:tabs>
                <w:tab w:val="left" w:pos="-1213"/>
                <w:tab w:val="left" w:pos="-720"/>
                <w:tab w:val="right" w:leader="dot" w:pos="0"/>
                <w:tab w:val="left" w:pos="720"/>
                <w:tab w:val="left" w:pos="1350"/>
                <w:tab w:val="left" w:pos="1980"/>
                <w:tab w:val="left" w:pos="2880"/>
                <w:tab w:val="left" w:pos="3420"/>
                <w:tab w:val="left" w:pos="4320"/>
              </w:tabs>
              <w:spacing w:before="60" w:after="60"/>
              <w:ind w:left="72" w:right="72"/>
              <w:jc w:val="center"/>
            </w:pPr>
            <w:r w:rsidRPr="00C66EBD">
              <w:t>CO</w:t>
            </w:r>
          </w:p>
        </w:tc>
        <w:tc>
          <w:tcPr>
            <w:tcW w:w="2250" w:type="dxa"/>
            <w:tcBorders>
              <w:top w:val="single" w:sz="6" w:space="0" w:color="auto"/>
              <w:left w:val="single" w:sz="6" w:space="0" w:color="auto"/>
              <w:bottom w:val="single" w:sz="6" w:space="0" w:color="auto"/>
              <w:right w:val="nil"/>
            </w:tcBorders>
          </w:tcPr>
          <w:p w:rsidR="00465706" w:rsidRPr="00C66EBD" w:rsidRDefault="00465706" w:rsidP="00C66EBD">
            <w:pPr>
              <w:widowControl w:val="0"/>
              <w:tabs>
                <w:tab w:val="left" w:pos="-1213"/>
                <w:tab w:val="left" w:pos="-720"/>
                <w:tab w:val="right" w:leader="dot" w:pos="0"/>
                <w:tab w:val="left" w:pos="720"/>
                <w:tab w:val="left" w:pos="1350"/>
                <w:tab w:val="left" w:pos="1980"/>
                <w:tab w:val="left" w:pos="2880"/>
                <w:tab w:val="left" w:pos="3420"/>
                <w:tab w:val="left" w:pos="4320"/>
              </w:tabs>
              <w:spacing w:before="60" w:after="60"/>
              <w:ind w:left="72" w:right="72"/>
            </w:pPr>
            <w:r w:rsidRPr="00C66EBD">
              <w:t>19.0 lb/hr and 83.2 TPY</w:t>
            </w:r>
          </w:p>
        </w:tc>
        <w:tc>
          <w:tcPr>
            <w:tcW w:w="5762" w:type="dxa"/>
            <w:tcBorders>
              <w:top w:val="single" w:sz="6" w:space="0" w:color="auto"/>
              <w:left w:val="single" w:sz="6" w:space="0" w:color="auto"/>
              <w:bottom w:val="single" w:sz="6" w:space="0" w:color="auto"/>
              <w:right w:val="double" w:sz="6" w:space="0" w:color="auto"/>
            </w:tcBorders>
          </w:tcPr>
          <w:p w:rsidR="00465706" w:rsidRPr="00C66EBD" w:rsidRDefault="004C0422" w:rsidP="00C66EBD">
            <w:pPr>
              <w:pStyle w:val="Heading4"/>
              <w:keepNext w:val="0"/>
              <w:widowControl w:val="0"/>
              <w:spacing w:before="60" w:after="60"/>
              <w:ind w:left="72" w:right="72" w:firstLine="0"/>
              <w:rPr>
                <w:sz w:val="20"/>
                <w:szCs w:val="20"/>
              </w:rPr>
            </w:pPr>
            <w:r w:rsidRPr="00C66EBD">
              <w:rPr>
                <w:sz w:val="20"/>
                <w:szCs w:val="20"/>
              </w:rPr>
              <w:t>Perform biennial stack testing to demonstrate compliance.</w:t>
            </w:r>
          </w:p>
        </w:tc>
      </w:tr>
      <w:tr w:rsidR="00465706" w:rsidRPr="00C66EBD" w:rsidTr="004C0422">
        <w:trPr>
          <w:cantSplit/>
          <w:trHeight w:val="84"/>
          <w:jc w:val="center"/>
        </w:trPr>
        <w:tc>
          <w:tcPr>
            <w:tcW w:w="1616" w:type="dxa"/>
            <w:tcBorders>
              <w:top w:val="single" w:sz="4" w:space="0" w:color="auto"/>
              <w:left w:val="double" w:sz="6" w:space="0" w:color="auto"/>
              <w:bottom w:val="single" w:sz="4" w:space="0" w:color="auto"/>
              <w:right w:val="nil"/>
            </w:tcBorders>
          </w:tcPr>
          <w:p w:rsidR="00465706" w:rsidRPr="00C66EBD" w:rsidRDefault="004C0422" w:rsidP="00C66EBD">
            <w:pPr>
              <w:widowControl w:val="0"/>
              <w:spacing w:before="60" w:after="60"/>
              <w:ind w:left="72" w:right="72"/>
              <w:jc w:val="center"/>
            </w:pPr>
            <w:r w:rsidRPr="00C66EBD">
              <w:t>AA-005</w:t>
            </w:r>
          </w:p>
        </w:tc>
        <w:tc>
          <w:tcPr>
            <w:tcW w:w="1172" w:type="dxa"/>
            <w:tcBorders>
              <w:top w:val="single" w:sz="6" w:space="0" w:color="auto"/>
              <w:left w:val="single" w:sz="6" w:space="0" w:color="auto"/>
              <w:bottom w:val="single" w:sz="6" w:space="0" w:color="auto"/>
              <w:right w:val="nil"/>
            </w:tcBorders>
          </w:tcPr>
          <w:p w:rsidR="00465706" w:rsidRPr="00C66EBD" w:rsidRDefault="00465706" w:rsidP="00C66EBD">
            <w:pPr>
              <w:widowControl w:val="0"/>
              <w:tabs>
                <w:tab w:val="left" w:pos="-1213"/>
                <w:tab w:val="left" w:pos="-720"/>
                <w:tab w:val="right" w:leader="dot" w:pos="0"/>
                <w:tab w:val="left" w:pos="720"/>
                <w:tab w:val="left" w:pos="1350"/>
                <w:tab w:val="left" w:pos="1980"/>
                <w:tab w:val="left" w:pos="2880"/>
                <w:tab w:val="left" w:pos="3420"/>
                <w:tab w:val="left" w:pos="4320"/>
              </w:tabs>
              <w:spacing w:before="60" w:after="60"/>
              <w:ind w:left="72" w:right="72"/>
              <w:jc w:val="center"/>
            </w:pPr>
            <w:r w:rsidRPr="00C66EBD">
              <w:t>VOC</w:t>
            </w:r>
          </w:p>
        </w:tc>
        <w:tc>
          <w:tcPr>
            <w:tcW w:w="2250" w:type="dxa"/>
            <w:tcBorders>
              <w:top w:val="single" w:sz="6" w:space="0" w:color="auto"/>
              <w:left w:val="single" w:sz="6" w:space="0" w:color="auto"/>
              <w:bottom w:val="single" w:sz="6" w:space="0" w:color="auto"/>
              <w:right w:val="nil"/>
            </w:tcBorders>
          </w:tcPr>
          <w:p w:rsidR="00465706" w:rsidRPr="00C66EBD" w:rsidRDefault="00465706" w:rsidP="00C66EBD">
            <w:pPr>
              <w:widowControl w:val="0"/>
              <w:tabs>
                <w:tab w:val="left" w:pos="-1213"/>
                <w:tab w:val="left" w:pos="-720"/>
                <w:tab w:val="right" w:leader="dot" w:pos="0"/>
                <w:tab w:val="left" w:pos="720"/>
                <w:tab w:val="left" w:pos="1350"/>
                <w:tab w:val="left" w:pos="1980"/>
                <w:tab w:val="left" w:pos="2880"/>
                <w:tab w:val="left" w:pos="3420"/>
                <w:tab w:val="left" w:pos="4320"/>
              </w:tabs>
              <w:spacing w:before="60" w:after="60"/>
              <w:ind w:left="72" w:right="72"/>
            </w:pPr>
            <w:r w:rsidRPr="00C66EBD">
              <w:t>3.0 lb/hr and 13.1 TPY</w:t>
            </w:r>
          </w:p>
        </w:tc>
        <w:tc>
          <w:tcPr>
            <w:tcW w:w="5762" w:type="dxa"/>
            <w:tcBorders>
              <w:top w:val="single" w:sz="6" w:space="0" w:color="auto"/>
              <w:left w:val="single" w:sz="6" w:space="0" w:color="auto"/>
              <w:bottom w:val="single" w:sz="6" w:space="0" w:color="auto"/>
              <w:right w:val="double" w:sz="6" w:space="0" w:color="auto"/>
            </w:tcBorders>
          </w:tcPr>
          <w:p w:rsidR="00465706" w:rsidRPr="00C66EBD" w:rsidRDefault="004C0422" w:rsidP="00C66EBD">
            <w:pPr>
              <w:pStyle w:val="Heading4"/>
              <w:keepNext w:val="0"/>
              <w:widowControl w:val="0"/>
              <w:spacing w:before="60" w:after="60"/>
              <w:ind w:left="72" w:right="72" w:firstLine="0"/>
              <w:rPr>
                <w:sz w:val="20"/>
                <w:szCs w:val="20"/>
              </w:rPr>
            </w:pPr>
            <w:r w:rsidRPr="00C66EBD">
              <w:rPr>
                <w:sz w:val="20"/>
                <w:szCs w:val="20"/>
              </w:rPr>
              <w:t>Perform biennial stack testing to demonstrate compliance.</w:t>
            </w:r>
          </w:p>
        </w:tc>
      </w:tr>
      <w:tr w:rsidR="00465706" w:rsidRPr="00C66EBD" w:rsidTr="004C0422">
        <w:trPr>
          <w:cantSplit/>
          <w:trHeight w:val="84"/>
          <w:jc w:val="center"/>
        </w:trPr>
        <w:tc>
          <w:tcPr>
            <w:tcW w:w="1616" w:type="dxa"/>
            <w:tcBorders>
              <w:top w:val="single" w:sz="4" w:space="0" w:color="auto"/>
              <w:left w:val="double" w:sz="6" w:space="0" w:color="auto"/>
              <w:bottom w:val="single" w:sz="4" w:space="0" w:color="auto"/>
              <w:right w:val="nil"/>
            </w:tcBorders>
          </w:tcPr>
          <w:p w:rsidR="00465706" w:rsidRPr="00C66EBD" w:rsidRDefault="004C0422" w:rsidP="00C66EBD">
            <w:pPr>
              <w:widowControl w:val="0"/>
              <w:spacing w:before="60" w:after="60"/>
              <w:ind w:left="72" w:right="72"/>
              <w:jc w:val="center"/>
            </w:pPr>
            <w:r w:rsidRPr="00C66EBD">
              <w:t>AA-005</w:t>
            </w:r>
          </w:p>
        </w:tc>
        <w:tc>
          <w:tcPr>
            <w:tcW w:w="1172" w:type="dxa"/>
            <w:tcBorders>
              <w:top w:val="single" w:sz="6" w:space="0" w:color="auto"/>
              <w:left w:val="single" w:sz="6" w:space="0" w:color="auto"/>
              <w:bottom w:val="single" w:sz="6" w:space="0" w:color="auto"/>
              <w:right w:val="nil"/>
            </w:tcBorders>
          </w:tcPr>
          <w:p w:rsidR="00465706" w:rsidRPr="00C66EBD" w:rsidRDefault="00465706" w:rsidP="00C66EBD">
            <w:pPr>
              <w:widowControl w:val="0"/>
              <w:tabs>
                <w:tab w:val="left" w:pos="-1213"/>
                <w:tab w:val="left" w:pos="-720"/>
                <w:tab w:val="right" w:leader="dot" w:pos="0"/>
                <w:tab w:val="left" w:pos="720"/>
                <w:tab w:val="left" w:pos="1350"/>
                <w:tab w:val="left" w:pos="1980"/>
                <w:tab w:val="left" w:pos="2880"/>
                <w:tab w:val="left" w:pos="3420"/>
                <w:tab w:val="left" w:pos="4320"/>
              </w:tabs>
              <w:spacing w:before="60" w:after="60"/>
              <w:ind w:left="72" w:right="72"/>
              <w:jc w:val="center"/>
            </w:pPr>
            <w:r w:rsidRPr="00C66EBD">
              <w:t>Opacity</w:t>
            </w:r>
          </w:p>
        </w:tc>
        <w:tc>
          <w:tcPr>
            <w:tcW w:w="2250" w:type="dxa"/>
            <w:tcBorders>
              <w:top w:val="single" w:sz="6" w:space="0" w:color="auto"/>
              <w:left w:val="single" w:sz="6" w:space="0" w:color="auto"/>
              <w:bottom w:val="single" w:sz="6" w:space="0" w:color="auto"/>
              <w:right w:val="nil"/>
            </w:tcBorders>
          </w:tcPr>
          <w:p w:rsidR="00465706" w:rsidRPr="00C66EBD" w:rsidRDefault="00465706" w:rsidP="00C66EBD">
            <w:pPr>
              <w:widowControl w:val="0"/>
              <w:tabs>
                <w:tab w:val="left" w:pos="-1213"/>
                <w:tab w:val="left" w:pos="-720"/>
                <w:tab w:val="right" w:leader="dot" w:pos="0"/>
                <w:tab w:val="left" w:pos="720"/>
                <w:tab w:val="left" w:pos="1350"/>
                <w:tab w:val="left" w:pos="1980"/>
                <w:tab w:val="left" w:pos="2880"/>
                <w:tab w:val="left" w:pos="3420"/>
                <w:tab w:val="left" w:pos="4320"/>
              </w:tabs>
              <w:spacing w:before="60" w:after="60"/>
              <w:ind w:left="72" w:right="72"/>
            </w:pPr>
            <w:r w:rsidRPr="00C66EBD">
              <w:t>≤ 20%</w:t>
            </w:r>
          </w:p>
        </w:tc>
        <w:tc>
          <w:tcPr>
            <w:tcW w:w="5762" w:type="dxa"/>
            <w:tcBorders>
              <w:top w:val="single" w:sz="6" w:space="0" w:color="auto"/>
              <w:left w:val="single" w:sz="6" w:space="0" w:color="auto"/>
              <w:bottom w:val="single" w:sz="6" w:space="0" w:color="auto"/>
              <w:right w:val="double" w:sz="6" w:space="0" w:color="auto"/>
            </w:tcBorders>
          </w:tcPr>
          <w:p w:rsidR="00465706" w:rsidRPr="00C66EBD" w:rsidRDefault="00465706" w:rsidP="00C66EBD">
            <w:pPr>
              <w:pStyle w:val="Heading4"/>
              <w:keepNext w:val="0"/>
              <w:widowControl w:val="0"/>
              <w:spacing w:before="60" w:after="60"/>
              <w:ind w:left="72" w:right="72" w:firstLine="0"/>
              <w:rPr>
                <w:sz w:val="20"/>
                <w:szCs w:val="20"/>
              </w:rPr>
            </w:pPr>
            <w:r w:rsidRPr="00C66EBD">
              <w:rPr>
                <w:color w:val="000000"/>
                <w:sz w:val="20"/>
                <w:szCs w:val="20"/>
              </w:rPr>
              <w:t>Monitoring is not proposed, since only gas is combusted</w:t>
            </w:r>
            <w:r w:rsidR="004C0422" w:rsidRPr="00C66EBD">
              <w:rPr>
                <w:color w:val="000000"/>
                <w:sz w:val="20"/>
                <w:szCs w:val="20"/>
              </w:rPr>
              <w:t>, and t</w:t>
            </w:r>
            <w:r w:rsidRPr="00C66EBD">
              <w:rPr>
                <w:color w:val="000000"/>
                <w:sz w:val="20"/>
                <w:szCs w:val="20"/>
              </w:rPr>
              <w:t>he margin of compliance is expected to be high.</w:t>
            </w:r>
          </w:p>
        </w:tc>
      </w:tr>
      <w:tr w:rsidR="00465706" w:rsidRPr="00C66EBD" w:rsidTr="004C0422">
        <w:trPr>
          <w:cantSplit/>
          <w:trHeight w:val="84"/>
          <w:jc w:val="center"/>
        </w:trPr>
        <w:tc>
          <w:tcPr>
            <w:tcW w:w="1616" w:type="dxa"/>
            <w:tcBorders>
              <w:top w:val="single" w:sz="4" w:space="0" w:color="auto"/>
              <w:left w:val="double" w:sz="6" w:space="0" w:color="auto"/>
              <w:bottom w:val="single" w:sz="4" w:space="0" w:color="auto"/>
              <w:right w:val="nil"/>
            </w:tcBorders>
          </w:tcPr>
          <w:p w:rsidR="00465706" w:rsidRPr="00C66EBD" w:rsidRDefault="004C0422" w:rsidP="00C66EBD">
            <w:pPr>
              <w:widowControl w:val="0"/>
              <w:spacing w:before="60" w:after="60"/>
              <w:ind w:left="72" w:right="72"/>
              <w:jc w:val="center"/>
            </w:pPr>
            <w:r w:rsidRPr="00C66EBD">
              <w:t>AA-005</w:t>
            </w:r>
          </w:p>
        </w:tc>
        <w:tc>
          <w:tcPr>
            <w:tcW w:w="1172" w:type="dxa"/>
            <w:tcBorders>
              <w:top w:val="single" w:sz="6" w:space="0" w:color="auto"/>
              <w:left w:val="single" w:sz="6" w:space="0" w:color="auto"/>
              <w:bottom w:val="single" w:sz="6" w:space="0" w:color="auto"/>
              <w:right w:val="nil"/>
            </w:tcBorders>
          </w:tcPr>
          <w:p w:rsidR="00465706" w:rsidRPr="00C66EBD" w:rsidRDefault="00465706" w:rsidP="00C66EBD">
            <w:pPr>
              <w:widowControl w:val="0"/>
              <w:spacing w:before="60" w:after="60"/>
              <w:ind w:left="72" w:right="72"/>
              <w:jc w:val="center"/>
            </w:pPr>
            <w:r w:rsidRPr="00C66EBD">
              <w:t>Fuel Restriction</w:t>
            </w:r>
          </w:p>
        </w:tc>
        <w:tc>
          <w:tcPr>
            <w:tcW w:w="2250" w:type="dxa"/>
            <w:tcBorders>
              <w:top w:val="single" w:sz="6" w:space="0" w:color="auto"/>
              <w:left w:val="single" w:sz="6" w:space="0" w:color="auto"/>
              <w:bottom w:val="single" w:sz="6" w:space="0" w:color="auto"/>
              <w:right w:val="nil"/>
            </w:tcBorders>
          </w:tcPr>
          <w:p w:rsidR="00465706" w:rsidRPr="00C66EBD" w:rsidRDefault="00465706" w:rsidP="00C66EBD">
            <w:pPr>
              <w:widowControl w:val="0"/>
              <w:spacing w:before="60" w:after="60"/>
              <w:ind w:left="72" w:right="72"/>
            </w:pPr>
            <w:r w:rsidRPr="00C66EBD">
              <w:t>Natural gas only with sulfur content ≤ 0.8% by weight (8,000 ppmw)</w:t>
            </w:r>
          </w:p>
        </w:tc>
        <w:tc>
          <w:tcPr>
            <w:tcW w:w="5762" w:type="dxa"/>
            <w:tcBorders>
              <w:top w:val="single" w:sz="6" w:space="0" w:color="auto"/>
              <w:left w:val="single" w:sz="6" w:space="0" w:color="auto"/>
              <w:bottom w:val="single" w:sz="6" w:space="0" w:color="auto"/>
              <w:right w:val="double" w:sz="6" w:space="0" w:color="auto"/>
            </w:tcBorders>
          </w:tcPr>
          <w:p w:rsidR="00465706" w:rsidRPr="00C66EBD" w:rsidRDefault="00A55AE8" w:rsidP="00C66EBD">
            <w:pPr>
              <w:pStyle w:val="Heading4"/>
              <w:keepNext w:val="0"/>
              <w:widowControl w:val="0"/>
              <w:spacing w:before="60" w:after="60"/>
              <w:ind w:left="72" w:right="72" w:firstLine="0"/>
              <w:rPr>
                <w:sz w:val="20"/>
                <w:szCs w:val="20"/>
              </w:rPr>
            </w:pPr>
            <w:r w:rsidRPr="00C66EBD">
              <w:rPr>
                <w:sz w:val="20"/>
                <w:szCs w:val="20"/>
              </w:rPr>
              <w:t>M</w:t>
            </w:r>
            <w:r w:rsidR="00465706" w:rsidRPr="00C66EBD">
              <w:rPr>
                <w:sz w:val="20"/>
                <w:szCs w:val="20"/>
              </w:rPr>
              <w:t>onitor the sulfur content of the fuel used in accordance with the EPA approved Custom Fuel Monitoring Plan.  Regardless of this plan, the permittee can maintain records from the supplier that the natural gas meets the definition of natural gas (e.g., ≤ 20.0 grains of total sulfur per 100 standard cubic feet).</w:t>
            </w:r>
          </w:p>
        </w:tc>
      </w:tr>
      <w:tr w:rsidR="00465706" w:rsidRPr="00C66EBD" w:rsidTr="00A55AE8">
        <w:trPr>
          <w:cantSplit/>
          <w:trHeight w:val="84"/>
          <w:jc w:val="center"/>
        </w:trPr>
        <w:tc>
          <w:tcPr>
            <w:tcW w:w="1616" w:type="dxa"/>
            <w:tcBorders>
              <w:top w:val="single" w:sz="4" w:space="0" w:color="auto"/>
              <w:left w:val="double" w:sz="6" w:space="0" w:color="auto"/>
              <w:bottom w:val="single" w:sz="4" w:space="0" w:color="auto"/>
              <w:right w:val="nil"/>
            </w:tcBorders>
          </w:tcPr>
          <w:p w:rsidR="00465706" w:rsidRPr="00C66EBD" w:rsidRDefault="004C0422" w:rsidP="00C66EBD">
            <w:pPr>
              <w:widowControl w:val="0"/>
              <w:spacing w:before="60" w:after="60"/>
              <w:ind w:left="72" w:right="72"/>
              <w:jc w:val="center"/>
            </w:pPr>
            <w:r w:rsidRPr="00C66EBD">
              <w:lastRenderedPageBreak/>
              <w:t>AA-005</w:t>
            </w:r>
          </w:p>
        </w:tc>
        <w:tc>
          <w:tcPr>
            <w:tcW w:w="1172" w:type="dxa"/>
            <w:tcBorders>
              <w:top w:val="single" w:sz="6" w:space="0" w:color="auto"/>
              <w:left w:val="single" w:sz="6" w:space="0" w:color="auto"/>
              <w:bottom w:val="single" w:sz="6" w:space="0" w:color="auto"/>
              <w:right w:val="nil"/>
            </w:tcBorders>
          </w:tcPr>
          <w:p w:rsidR="00465706" w:rsidRPr="00C66EBD" w:rsidRDefault="00465706" w:rsidP="00C66EBD">
            <w:pPr>
              <w:widowControl w:val="0"/>
              <w:spacing w:before="60" w:after="60"/>
              <w:ind w:left="72" w:right="72"/>
              <w:jc w:val="center"/>
            </w:pPr>
            <w:r w:rsidRPr="00C66EBD">
              <w:rPr>
                <w:color w:val="000000"/>
              </w:rPr>
              <w:t>Startup/ Shutdown</w:t>
            </w:r>
          </w:p>
        </w:tc>
        <w:tc>
          <w:tcPr>
            <w:tcW w:w="2250" w:type="dxa"/>
            <w:tcBorders>
              <w:top w:val="single" w:sz="6" w:space="0" w:color="auto"/>
              <w:left w:val="single" w:sz="6" w:space="0" w:color="auto"/>
              <w:bottom w:val="single" w:sz="6" w:space="0" w:color="auto"/>
              <w:right w:val="nil"/>
            </w:tcBorders>
          </w:tcPr>
          <w:p w:rsidR="00465706" w:rsidRPr="00C66EBD" w:rsidRDefault="00A55AE8" w:rsidP="00C66EBD">
            <w:pPr>
              <w:widowControl w:val="0"/>
              <w:spacing w:before="60" w:after="60"/>
              <w:ind w:left="72" w:right="72"/>
            </w:pPr>
            <w:r w:rsidRPr="00C66EBD">
              <w:t>Short-term and long-term emission limits</w:t>
            </w:r>
          </w:p>
        </w:tc>
        <w:tc>
          <w:tcPr>
            <w:tcW w:w="5762" w:type="dxa"/>
            <w:tcBorders>
              <w:top w:val="single" w:sz="6" w:space="0" w:color="auto"/>
              <w:left w:val="single" w:sz="6" w:space="0" w:color="auto"/>
              <w:bottom w:val="single" w:sz="6" w:space="0" w:color="auto"/>
              <w:right w:val="double" w:sz="6" w:space="0" w:color="auto"/>
            </w:tcBorders>
          </w:tcPr>
          <w:p w:rsidR="00A55AE8" w:rsidRPr="00C66EBD" w:rsidRDefault="00A55AE8" w:rsidP="00C66EBD">
            <w:pPr>
              <w:pStyle w:val="Heading4"/>
              <w:keepNext w:val="0"/>
              <w:widowControl w:val="0"/>
              <w:spacing w:before="60" w:after="60"/>
              <w:ind w:left="72" w:right="72" w:firstLine="0"/>
              <w:rPr>
                <w:color w:val="000000"/>
                <w:sz w:val="20"/>
                <w:szCs w:val="20"/>
              </w:rPr>
            </w:pPr>
            <w:r w:rsidRPr="00C66EBD">
              <w:rPr>
                <w:color w:val="000000"/>
                <w:sz w:val="20"/>
                <w:szCs w:val="20"/>
              </w:rPr>
              <w:t>Compliance with short-term emission limits is required, except during periods of startup and shutdown.  Compliance with long-term emission limits is required even during periods of startup and shutdown.</w:t>
            </w:r>
          </w:p>
          <w:p w:rsidR="00465706" w:rsidRPr="00C66EBD" w:rsidRDefault="00A55AE8" w:rsidP="00C66EBD">
            <w:pPr>
              <w:pStyle w:val="Heading4"/>
              <w:keepNext w:val="0"/>
              <w:widowControl w:val="0"/>
              <w:spacing w:before="60" w:after="60"/>
              <w:ind w:left="72" w:right="72" w:firstLine="0"/>
              <w:rPr>
                <w:sz w:val="20"/>
                <w:szCs w:val="20"/>
              </w:rPr>
            </w:pPr>
            <w:r w:rsidRPr="00C66EBD">
              <w:rPr>
                <w:sz w:val="20"/>
                <w:szCs w:val="20"/>
              </w:rPr>
              <w:t>M</w:t>
            </w:r>
            <w:r w:rsidR="00465706" w:rsidRPr="00C66EBD">
              <w:rPr>
                <w:sz w:val="20"/>
                <w:szCs w:val="20"/>
              </w:rPr>
              <w:t>aintain records of the occurrence and duration of any startup or shutdown, or any periods during which a continuous monitoring system or monitoring device is inoperative.  Such records shall include the time and date of such startups and shutdowns.</w:t>
            </w:r>
          </w:p>
        </w:tc>
      </w:tr>
      <w:tr w:rsidR="00465706" w:rsidRPr="00C66EBD" w:rsidTr="00A55AE8">
        <w:trPr>
          <w:cantSplit/>
          <w:trHeight w:val="84"/>
          <w:jc w:val="center"/>
        </w:trPr>
        <w:tc>
          <w:tcPr>
            <w:tcW w:w="1616" w:type="dxa"/>
            <w:tcBorders>
              <w:top w:val="single" w:sz="4" w:space="0" w:color="auto"/>
              <w:left w:val="double" w:sz="6" w:space="0" w:color="auto"/>
              <w:bottom w:val="single" w:sz="4" w:space="0" w:color="auto"/>
              <w:right w:val="nil"/>
            </w:tcBorders>
          </w:tcPr>
          <w:p w:rsidR="00465706" w:rsidRPr="00C66EBD" w:rsidRDefault="00A55AE8" w:rsidP="00C66EBD">
            <w:pPr>
              <w:widowControl w:val="0"/>
              <w:spacing w:before="60" w:after="60"/>
              <w:ind w:left="72" w:right="72"/>
              <w:jc w:val="center"/>
            </w:pPr>
            <w:r w:rsidRPr="00C66EBD">
              <w:t xml:space="preserve">AA-001 through </w:t>
            </w:r>
            <w:r w:rsidR="00465706" w:rsidRPr="00C66EBD">
              <w:t>AA-00</w:t>
            </w:r>
            <w:r w:rsidRPr="00C66EBD">
              <w:t>5</w:t>
            </w:r>
          </w:p>
        </w:tc>
        <w:tc>
          <w:tcPr>
            <w:tcW w:w="1172" w:type="dxa"/>
            <w:tcBorders>
              <w:top w:val="single" w:sz="6" w:space="0" w:color="auto"/>
              <w:left w:val="single" w:sz="6" w:space="0" w:color="auto"/>
              <w:bottom w:val="single" w:sz="6" w:space="0" w:color="auto"/>
              <w:right w:val="nil"/>
            </w:tcBorders>
          </w:tcPr>
          <w:p w:rsidR="00465706" w:rsidRPr="00C66EBD" w:rsidRDefault="00A55AE8" w:rsidP="00C66EBD">
            <w:pPr>
              <w:widowControl w:val="0"/>
              <w:tabs>
                <w:tab w:val="left" w:pos="-1213"/>
                <w:tab w:val="left" w:pos="-720"/>
                <w:tab w:val="right" w:leader="dot" w:pos="0"/>
                <w:tab w:val="left" w:pos="720"/>
                <w:tab w:val="left" w:pos="1350"/>
                <w:tab w:val="left" w:pos="1980"/>
                <w:tab w:val="left" w:pos="2880"/>
                <w:tab w:val="left" w:pos="3420"/>
                <w:tab w:val="left" w:pos="4320"/>
              </w:tabs>
              <w:spacing w:before="60" w:after="60"/>
              <w:ind w:left="72" w:right="72"/>
              <w:jc w:val="center"/>
            </w:pPr>
            <w:r w:rsidRPr="00C66EBD">
              <w:t>NO</w:t>
            </w:r>
            <w:r w:rsidRPr="00C66EBD">
              <w:rPr>
                <w:vertAlign w:val="subscript"/>
              </w:rPr>
              <w:t>X</w:t>
            </w:r>
            <w:r w:rsidRPr="00C66EBD">
              <w:t xml:space="preserve"> </w:t>
            </w:r>
          </w:p>
        </w:tc>
        <w:tc>
          <w:tcPr>
            <w:tcW w:w="2250" w:type="dxa"/>
            <w:tcBorders>
              <w:top w:val="single" w:sz="6" w:space="0" w:color="auto"/>
              <w:left w:val="single" w:sz="6" w:space="0" w:color="auto"/>
              <w:bottom w:val="single" w:sz="6" w:space="0" w:color="auto"/>
              <w:right w:val="nil"/>
            </w:tcBorders>
          </w:tcPr>
          <w:p w:rsidR="00465706" w:rsidRPr="00C66EBD" w:rsidRDefault="00A55AE8" w:rsidP="00C66EBD">
            <w:pPr>
              <w:widowControl w:val="0"/>
              <w:tabs>
                <w:tab w:val="left" w:pos="-1213"/>
                <w:tab w:val="left" w:pos="-720"/>
                <w:tab w:val="right" w:leader="dot" w:pos="0"/>
                <w:tab w:val="left" w:pos="720"/>
                <w:tab w:val="left" w:pos="1350"/>
                <w:tab w:val="left" w:pos="1980"/>
                <w:tab w:val="left" w:pos="2880"/>
                <w:tab w:val="left" w:pos="3420"/>
                <w:tab w:val="left" w:pos="4320"/>
              </w:tabs>
              <w:spacing w:before="60" w:after="60"/>
              <w:ind w:left="72" w:right="72"/>
            </w:pPr>
            <w:r w:rsidRPr="00C66EBD">
              <w:t>C</w:t>
            </w:r>
            <w:r w:rsidR="00FC5656">
              <w:t>SAPR</w:t>
            </w:r>
          </w:p>
        </w:tc>
        <w:tc>
          <w:tcPr>
            <w:tcW w:w="5762" w:type="dxa"/>
            <w:tcBorders>
              <w:top w:val="single" w:sz="6" w:space="0" w:color="auto"/>
              <w:left w:val="single" w:sz="6" w:space="0" w:color="auto"/>
              <w:bottom w:val="single" w:sz="6" w:space="0" w:color="auto"/>
              <w:right w:val="double" w:sz="6" w:space="0" w:color="auto"/>
            </w:tcBorders>
          </w:tcPr>
          <w:p w:rsidR="00465706" w:rsidRPr="00C66EBD" w:rsidRDefault="00FC5656" w:rsidP="00C66EBD">
            <w:pPr>
              <w:pStyle w:val="Heading4"/>
              <w:keepNext w:val="0"/>
              <w:widowControl w:val="0"/>
              <w:spacing w:before="60" w:after="60"/>
              <w:ind w:left="72" w:right="72" w:firstLine="0"/>
              <w:rPr>
                <w:sz w:val="20"/>
                <w:szCs w:val="20"/>
              </w:rPr>
            </w:pPr>
            <w:r>
              <w:rPr>
                <w:color w:val="000000"/>
                <w:sz w:val="20"/>
                <w:szCs w:val="20"/>
              </w:rPr>
              <w:t>Ensure that the units have allocations for CSAPR</w:t>
            </w:r>
          </w:p>
        </w:tc>
      </w:tr>
      <w:tr w:rsidR="00A55AE8" w:rsidRPr="00C66EBD" w:rsidTr="00A55AE8">
        <w:trPr>
          <w:cantSplit/>
          <w:trHeight w:val="84"/>
          <w:jc w:val="center"/>
        </w:trPr>
        <w:tc>
          <w:tcPr>
            <w:tcW w:w="1616" w:type="dxa"/>
            <w:tcBorders>
              <w:top w:val="single" w:sz="4" w:space="0" w:color="auto"/>
              <w:left w:val="double" w:sz="6" w:space="0" w:color="auto"/>
              <w:bottom w:val="single" w:sz="4" w:space="0" w:color="auto"/>
              <w:right w:val="nil"/>
            </w:tcBorders>
          </w:tcPr>
          <w:p w:rsidR="00A55AE8" w:rsidRPr="00C66EBD" w:rsidRDefault="00A55AE8" w:rsidP="00C66EBD">
            <w:pPr>
              <w:widowControl w:val="0"/>
              <w:spacing w:before="60" w:after="60"/>
              <w:ind w:left="72" w:right="72"/>
              <w:jc w:val="center"/>
            </w:pPr>
            <w:r w:rsidRPr="00C66EBD">
              <w:t>AA-006</w:t>
            </w:r>
          </w:p>
        </w:tc>
        <w:tc>
          <w:tcPr>
            <w:tcW w:w="1172" w:type="dxa"/>
            <w:tcBorders>
              <w:top w:val="single" w:sz="6" w:space="0" w:color="auto"/>
              <w:left w:val="single" w:sz="6" w:space="0" w:color="auto"/>
              <w:bottom w:val="single" w:sz="6" w:space="0" w:color="auto"/>
              <w:right w:val="nil"/>
            </w:tcBorders>
          </w:tcPr>
          <w:p w:rsidR="00A55AE8" w:rsidRPr="00C66EBD" w:rsidRDefault="00A55AE8" w:rsidP="00C66EBD">
            <w:pPr>
              <w:widowControl w:val="0"/>
              <w:tabs>
                <w:tab w:val="left" w:pos="-1213"/>
                <w:tab w:val="left" w:pos="-720"/>
                <w:tab w:val="right" w:leader="dot" w:pos="0"/>
                <w:tab w:val="left" w:pos="720"/>
                <w:tab w:val="left" w:pos="1350"/>
                <w:tab w:val="left" w:pos="1980"/>
                <w:tab w:val="left" w:pos="2880"/>
                <w:tab w:val="left" w:pos="3420"/>
                <w:tab w:val="left" w:pos="4320"/>
              </w:tabs>
              <w:spacing w:before="60" w:after="60"/>
              <w:ind w:left="72" w:right="72"/>
              <w:jc w:val="center"/>
            </w:pPr>
            <w:r w:rsidRPr="00C66EBD">
              <w:t>NO</w:t>
            </w:r>
            <w:r w:rsidRPr="00C66EBD">
              <w:rPr>
                <w:vertAlign w:val="subscript"/>
              </w:rPr>
              <w:t>X</w:t>
            </w:r>
          </w:p>
        </w:tc>
        <w:tc>
          <w:tcPr>
            <w:tcW w:w="2250" w:type="dxa"/>
            <w:tcBorders>
              <w:top w:val="single" w:sz="6" w:space="0" w:color="auto"/>
              <w:left w:val="single" w:sz="6" w:space="0" w:color="auto"/>
              <w:bottom w:val="single" w:sz="6" w:space="0" w:color="auto"/>
              <w:right w:val="nil"/>
            </w:tcBorders>
          </w:tcPr>
          <w:p w:rsidR="00A55AE8" w:rsidRPr="00C66EBD" w:rsidRDefault="00A55AE8" w:rsidP="00C66EBD">
            <w:pPr>
              <w:widowControl w:val="0"/>
              <w:tabs>
                <w:tab w:val="left" w:pos="-1213"/>
                <w:tab w:val="left" w:pos="-720"/>
                <w:tab w:val="right" w:leader="dot" w:pos="0"/>
                <w:tab w:val="left" w:pos="720"/>
                <w:tab w:val="left" w:pos="1350"/>
                <w:tab w:val="left" w:pos="1980"/>
                <w:tab w:val="left" w:pos="2880"/>
                <w:tab w:val="left" w:pos="3420"/>
                <w:tab w:val="left" w:pos="4320"/>
              </w:tabs>
              <w:spacing w:before="60" w:after="60"/>
              <w:ind w:left="72" w:right="72"/>
            </w:pPr>
            <w:r w:rsidRPr="00C66EBD">
              <w:t>0.20 lb/MMBTU, not to exceed 42.05 lb/hr and 39.9 TPY</w:t>
            </w:r>
          </w:p>
        </w:tc>
        <w:tc>
          <w:tcPr>
            <w:tcW w:w="5762" w:type="dxa"/>
            <w:tcBorders>
              <w:top w:val="single" w:sz="6" w:space="0" w:color="auto"/>
              <w:left w:val="single" w:sz="6" w:space="0" w:color="auto"/>
              <w:bottom w:val="single" w:sz="6" w:space="0" w:color="auto"/>
              <w:right w:val="double" w:sz="6" w:space="0" w:color="auto"/>
            </w:tcBorders>
          </w:tcPr>
          <w:p w:rsidR="00C66EBD" w:rsidRPr="00C66EBD" w:rsidRDefault="00C66EBD" w:rsidP="00C66EBD">
            <w:pPr>
              <w:pStyle w:val="Heading4"/>
              <w:keepNext w:val="0"/>
              <w:widowControl w:val="0"/>
              <w:spacing w:before="60" w:after="60"/>
              <w:ind w:left="72" w:right="72" w:firstLine="0"/>
              <w:rPr>
                <w:sz w:val="20"/>
                <w:szCs w:val="20"/>
              </w:rPr>
            </w:pPr>
            <w:r w:rsidRPr="00C66EBD">
              <w:rPr>
                <w:sz w:val="20"/>
                <w:szCs w:val="20"/>
              </w:rPr>
              <w:t>Perform biennial stack testing to demonstrate compliance.</w:t>
            </w:r>
          </w:p>
          <w:p w:rsidR="00A55AE8" w:rsidRPr="00C66EBD" w:rsidRDefault="00C66EBD" w:rsidP="00C66EBD">
            <w:pPr>
              <w:pStyle w:val="Heading4"/>
              <w:keepNext w:val="0"/>
              <w:widowControl w:val="0"/>
              <w:spacing w:before="60" w:after="60"/>
              <w:ind w:left="72" w:right="72" w:firstLine="0"/>
              <w:rPr>
                <w:sz w:val="20"/>
                <w:szCs w:val="20"/>
              </w:rPr>
            </w:pPr>
            <w:r w:rsidRPr="00C66EBD">
              <w:rPr>
                <w:sz w:val="20"/>
                <w:szCs w:val="20"/>
              </w:rPr>
              <w:t>M</w:t>
            </w:r>
            <w:r w:rsidR="00A55AE8" w:rsidRPr="00C66EBD">
              <w:rPr>
                <w:sz w:val="20"/>
                <w:szCs w:val="20"/>
              </w:rPr>
              <w:t>aintain Emission Point AA-006 fuel usage (in million cubic feet) and annual NO</w:t>
            </w:r>
            <w:r w:rsidR="00A55AE8" w:rsidRPr="00C66EBD">
              <w:rPr>
                <w:sz w:val="20"/>
                <w:szCs w:val="20"/>
                <w:vertAlign w:val="subscript"/>
              </w:rPr>
              <w:t>X</w:t>
            </w:r>
            <w:r w:rsidR="00A55AE8" w:rsidRPr="00C66EBD">
              <w:rPr>
                <w:sz w:val="20"/>
                <w:szCs w:val="20"/>
              </w:rPr>
              <w:t xml:space="preserve"> emissions (in tons per year) during simultaneous operation with Emission Points AA-001 through AA-005.  These records shall be recorded for any consecutive 365-day period and reported each calendar quarter.</w:t>
            </w:r>
          </w:p>
          <w:p w:rsidR="00A55AE8" w:rsidRPr="00C66EBD" w:rsidRDefault="00A55AE8" w:rsidP="00C66EBD">
            <w:pPr>
              <w:widowControl w:val="0"/>
              <w:spacing w:before="60" w:after="60"/>
              <w:ind w:left="72" w:right="72"/>
            </w:pPr>
            <w:r w:rsidRPr="00C66EBD">
              <w:t>The permittee is subject to the NO</w:t>
            </w:r>
            <w:r w:rsidRPr="00C66EBD">
              <w:rPr>
                <w:vertAlign w:val="subscript"/>
              </w:rPr>
              <w:t>X</w:t>
            </w:r>
            <w:r w:rsidRPr="00C66EBD">
              <w:t xml:space="preserve"> standard under §60.44b, which requires the permittee to install, calibrate, maintain, and operate a CEMS and record the output of the system for measuring NO</w:t>
            </w:r>
            <w:r w:rsidRPr="00C66EBD">
              <w:rPr>
                <w:vertAlign w:val="subscript"/>
              </w:rPr>
              <w:t>X</w:t>
            </w:r>
            <w:r w:rsidRPr="00C66EBD">
              <w:t xml:space="preserve"> and O</w:t>
            </w:r>
            <w:r w:rsidRPr="00C66EBD">
              <w:rPr>
                <w:vertAlign w:val="subscript"/>
              </w:rPr>
              <w:t>2</w:t>
            </w:r>
            <w:r w:rsidRPr="00C66EBD">
              <w:t xml:space="preserve"> (or CO</w:t>
            </w:r>
            <w:r w:rsidRPr="00C66EBD">
              <w:rPr>
                <w:vertAlign w:val="subscript"/>
              </w:rPr>
              <w:t>2</w:t>
            </w:r>
            <w:r w:rsidRPr="00C66EBD">
              <w:t xml:space="preserve">) emissions discharged to the atmosphere. </w:t>
            </w:r>
          </w:p>
        </w:tc>
      </w:tr>
      <w:tr w:rsidR="00C66EBD" w:rsidRPr="00C66EBD" w:rsidTr="00C66EBD">
        <w:trPr>
          <w:cantSplit/>
          <w:trHeight w:val="84"/>
          <w:jc w:val="center"/>
        </w:trPr>
        <w:tc>
          <w:tcPr>
            <w:tcW w:w="1616" w:type="dxa"/>
            <w:tcBorders>
              <w:top w:val="single" w:sz="4" w:space="0" w:color="auto"/>
              <w:left w:val="double" w:sz="6" w:space="0" w:color="auto"/>
              <w:bottom w:val="single" w:sz="4" w:space="0" w:color="auto"/>
              <w:right w:val="nil"/>
            </w:tcBorders>
          </w:tcPr>
          <w:p w:rsidR="00A55AE8" w:rsidRPr="00C66EBD" w:rsidRDefault="00C66EBD" w:rsidP="00C66EBD">
            <w:pPr>
              <w:widowControl w:val="0"/>
              <w:spacing w:before="60" w:after="60"/>
              <w:ind w:left="72" w:right="72"/>
              <w:jc w:val="center"/>
            </w:pPr>
            <w:r w:rsidRPr="00C66EBD">
              <w:t>AA-006</w:t>
            </w:r>
          </w:p>
        </w:tc>
        <w:tc>
          <w:tcPr>
            <w:tcW w:w="1172" w:type="dxa"/>
            <w:tcBorders>
              <w:top w:val="single" w:sz="6" w:space="0" w:color="auto"/>
              <w:left w:val="single" w:sz="6" w:space="0" w:color="auto"/>
              <w:bottom w:val="single" w:sz="6" w:space="0" w:color="auto"/>
              <w:right w:val="nil"/>
            </w:tcBorders>
          </w:tcPr>
          <w:p w:rsidR="00A55AE8" w:rsidRPr="00C66EBD" w:rsidRDefault="00A55AE8" w:rsidP="00C66EBD">
            <w:pPr>
              <w:widowControl w:val="0"/>
              <w:tabs>
                <w:tab w:val="left" w:pos="-1213"/>
                <w:tab w:val="left" w:pos="-720"/>
                <w:tab w:val="right" w:leader="dot" w:pos="0"/>
                <w:tab w:val="left" w:pos="720"/>
                <w:tab w:val="left" w:pos="1350"/>
                <w:tab w:val="left" w:pos="1980"/>
                <w:tab w:val="left" w:pos="2880"/>
                <w:tab w:val="left" w:pos="3420"/>
                <w:tab w:val="left" w:pos="4320"/>
              </w:tabs>
              <w:spacing w:before="60" w:after="60"/>
              <w:ind w:left="72" w:right="72"/>
              <w:jc w:val="center"/>
            </w:pPr>
            <w:r w:rsidRPr="00C66EBD">
              <w:t xml:space="preserve">Fuel </w:t>
            </w:r>
            <w:r w:rsidR="00C66EBD" w:rsidRPr="00C66EBD">
              <w:t>Restriction</w:t>
            </w:r>
          </w:p>
        </w:tc>
        <w:tc>
          <w:tcPr>
            <w:tcW w:w="2250" w:type="dxa"/>
            <w:tcBorders>
              <w:top w:val="single" w:sz="6" w:space="0" w:color="auto"/>
              <w:left w:val="single" w:sz="6" w:space="0" w:color="auto"/>
              <w:bottom w:val="single" w:sz="6" w:space="0" w:color="auto"/>
              <w:right w:val="nil"/>
            </w:tcBorders>
          </w:tcPr>
          <w:p w:rsidR="00A55AE8" w:rsidRPr="00C66EBD" w:rsidRDefault="00A55AE8" w:rsidP="00C66EBD">
            <w:pPr>
              <w:widowControl w:val="0"/>
              <w:tabs>
                <w:tab w:val="left" w:pos="-1213"/>
                <w:tab w:val="left" w:pos="-720"/>
                <w:tab w:val="right" w:leader="dot" w:pos="0"/>
                <w:tab w:val="left" w:pos="720"/>
                <w:tab w:val="left" w:pos="1350"/>
                <w:tab w:val="left" w:pos="1980"/>
                <w:tab w:val="left" w:pos="2880"/>
                <w:tab w:val="left" w:pos="3420"/>
                <w:tab w:val="left" w:pos="4320"/>
              </w:tabs>
              <w:spacing w:before="60" w:after="60"/>
              <w:ind w:left="72" w:right="72"/>
            </w:pPr>
            <w:r w:rsidRPr="00C66EBD">
              <w:t>Natural gas only</w:t>
            </w:r>
            <w:r w:rsidR="00C66EBD" w:rsidRPr="00C66EBD">
              <w:t xml:space="preserve"> (≤ </w:t>
            </w:r>
            <w:r w:rsidRPr="00C66EBD">
              <w:t xml:space="preserve">420 million </w:t>
            </w:r>
            <w:r w:rsidR="00C66EBD" w:rsidRPr="00C66EBD">
              <w:t>cf</w:t>
            </w:r>
            <w:r w:rsidRPr="00C66EBD">
              <w:t xml:space="preserve"> of gas burned </w:t>
            </w:r>
            <w:r w:rsidR="00C66EBD" w:rsidRPr="00C66EBD">
              <w:t>per year)</w:t>
            </w:r>
          </w:p>
        </w:tc>
        <w:tc>
          <w:tcPr>
            <w:tcW w:w="5762" w:type="dxa"/>
            <w:tcBorders>
              <w:top w:val="single" w:sz="6" w:space="0" w:color="auto"/>
              <w:left w:val="single" w:sz="6" w:space="0" w:color="auto"/>
              <w:bottom w:val="single" w:sz="6" w:space="0" w:color="auto"/>
              <w:right w:val="double" w:sz="6" w:space="0" w:color="auto"/>
            </w:tcBorders>
          </w:tcPr>
          <w:p w:rsidR="00A55AE8" w:rsidRPr="00C66EBD" w:rsidRDefault="00A55AE8" w:rsidP="00C66EBD">
            <w:pPr>
              <w:pStyle w:val="Heading4"/>
              <w:keepNext w:val="0"/>
              <w:widowControl w:val="0"/>
              <w:spacing w:before="60" w:after="60"/>
              <w:ind w:left="72" w:right="72" w:firstLine="0"/>
              <w:rPr>
                <w:sz w:val="20"/>
                <w:szCs w:val="20"/>
              </w:rPr>
            </w:pPr>
            <w:r w:rsidRPr="00C66EBD">
              <w:rPr>
                <w:sz w:val="20"/>
                <w:szCs w:val="20"/>
              </w:rPr>
              <w:t>In accordance with 40 CFR 60, Subpart Db (60.49b(d)), the permittee shall maintain records of the amount of fuel combusted each day and calculate the annual capacity factor for the reporting period.</w:t>
            </w:r>
          </w:p>
        </w:tc>
      </w:tr>
      <w:tr w:rsidR="00C66EBD" w:rsidRPr="00C66EBD" w:rsidTr="00A55AE8">
        <w:trPr>
          <w:cantSplit/>
          <w:trHeight w:val="84"/>
          <w:jc w:val="center"/>
        </w:trPr>
        <w:tc>
          <w:tcPr>
            <w:tcW w:w="1616" w:type="dxa"/>
            <w:tcBorders>
              <w:top w:val="single" w:sz="4" w:space="0" w:color="auto"/>
              <w:left w:val="double" w:sz="6" w:space="0" w:color="auto"/>
              <w:bottom w:val="double" w:sz="6" w:space="0" w:color="auto"/>
              <w:right w:val="nil"/>
            </w:tcBorders>
          </w:tcPr>
          <w:p w:rsidR="00C66EBD" w:rsidRPr="00C66EBD" w:rsidRDefault="00C66EBD" w:rsidP="00C66EBD">
            <w:pPr>
              <w:widowControl w:val="0"/>
              <w:spacing w:before="60" w:after="60"/>
              <w:ind w:left="72" w:right="72"/>
              <w:jc w:val="center"/>
            </w:pPr>
            <w:r w:rsidRPr="00C66EBD">
              <w:t>AA-012 and AA-013</w:t>
            </w:r>
          </w:p>
        </w:tc>
        <w:tc>
          <w:tcPr>
            <w:tcW w:w="1172" w:type="dxa"/>
            <w:tcBorders>
              <w:top w:val="single" w:sz="6" w:space="0" w:color="auto"/>
              <w:left w:val="single" w:sz="6" w:space="0" w:color="auto"/>
              <w:bottom w:val="double" w:sz="6" w:space="0" w:color="auto"/>
              <w:right w:val="nil"/>
            </w:tcBorders>
          </w:tcPr>
          <w:p w:rsidR="00C66EBD" w:rsidRPr="00C66EBD" w:rsidRDefault="00C66EBD" w:rsidP="00C66EBD">
            <w:pPr>
              <w:widowControl w:val="0"/>
              <w:tabs>
                <w:tab w:val="left" w:pos="-1213"/>
                <w:tab w:val="left" w:pos="-720"/>
                <w:tab w:val="right" w:leader="dot" w:pos="0"/>
                <w:tab w:val="left" w:pos="720"/>
                <w:tab w:val="left" w:pos="1350"/>
                <w:tab w:val="left" w:pos="1980"/>
                <w:tab w:val="left" w:pos="2880"/>
                <w:tab w:val="left" w:pos="3420"/>
                <w:tab w:val="left" w:pos="4320"/>
              </w:tabs>
              <w:spacing w:before="60" w:after="60"/>
              <w:ind w:left="72" w:right="72"/>
              <w:jc w:val="center"/>
            </w:pPr>
            <w:r w:rsidRPr="00C66EBD">
              <w:t>O&amp;M Practices</w:t>
            </w:r>
          </w:p>
        </w:tc>
        <w:tc>
          <w:tcPr>
            <w:tcW w:w="2250" w:type="dxa"/>
            <w:tcBorders>
              <w:top w:val="single" w:sz="6" w:space="0" w:color="auto"/>
              <w:left w:val="single" w:sz="6" w:space="0" w:color="auto"/>
              <w:bottom w:val="double" w:sz="6" w:space="0" w:color="auto"/>
              <w:right w:val="nil"/>
            </w:tcBorders>
          </w:tcPr>
          <w:p w:rsidR="00C66EBD" w:rsidRPr="00C66EBD" w:rsidRDefault="00C66EBD" w:rsidP="00C66EBD">
            <w:pPr>
              <w:widowControl w:val="0"/>
              <w:tabs>
                <w:tab w:val="left" w:pos="-1213"/>
                <w:tab w:val="left" w:pos="-720"/>
                <w:tab w:val="right" w:leader="dot" w:pos="0"/>
                <w:tab w:val="left" w:pos="720"/>
                <w:tab w:val="left" w:pos="1350"/>
                <w:tab w:val="left" w:pos="1980"/>
                <w:tab w:val="left" w:pos="2880"/>
                <w:tab w:val="left" w:pos="3420"/>
                <w:tab w:val="left" w:pos="4320"/>
              </w:tabs>
              <w:spacing w:before="60" w:after="60"/>
              <w:ind w:left="72" w:right="72"/>
            </w:pPr>
            <w:r w:rsidRPr="00C66EBD">
              <w:t>O&amp;M Practices</w:t>
            </w:r>
          </w:p>
        </w:tc>
        <w:tc>
          <w:tcPr>
            <w:tcW w:w="5762" w:type="dxa"/>
            <w:tcBorders>
              <w:top w:val="single" w:sz="6" w:space="0" w:color="auto"/>
              <w:left w:val="single" w:sz="6" w:space="0" w:color="auto"/>
              <w:bottom w:val="double" w:sz="6" w:space="0" w:color="auto"/>
              <w:right w:val="double" w:sz="6" w:space="0" w:color="auto"/>
            </w:tcBorders>
          </w:tcPr>
          <w:p w:rsidR="00C66EBD" w:rsidRPr="00C66EBD" w:rsidRDefault="00C66EBD" w:rsidP="00C66EBD">
            <w:pPr>
              <w:pStyle w:val="Heading4"/>
              <w:keepNext w:val="0"/>
              <w:widowControl w:val="0"/>
              <w:spacing w:before="60" w:after="60"/>
              <w:ind w:left="72" w:right="72" w:firstLine="0"/>
              <w:rPr>
                <w:sz w:val="20"/>
                <w:szCs w:val="20"/>
              </w:rPr>
            </w:pPr>
            <w:r w:rsidRPr="00C66EBD">
              <w:rPr>
                <w:sz w:val="20"/>
                <w:szCs w:val="20"/>
              </w:rPr>
              <w:t>Operate and maintain RICE in accordance with manufacturer’s O&amp;M procedures or other approved plan.</w:t>
            </w:r>
          </w:p>
        </w:tc>
      </w:tr>
    </w:tbl>
    <w:p w:rsidR="00521636" w:rsidRPr="00C66EBD" w:rsidRDefault="00521636" w:rsidP="00C66EBD">
      <w:pPr>
        <w:widowControl w:val="0"/>
        <w:rPr>
          <w:sz w:val="24"/>
          <w:szCs w:val="24"/>
        </w:rPr>
      </w:pPr>
    </w:p>
    <w:p w:rsidR="00A55AE8" w:rsidRPr="00C66EBD" w:rsidRDefault="00A55AE8" w:rsidP="00C66EBD">
      <w:pPr>
        <w:widowControl w:val="0"/>
        <w:rPr>
          <w:sz w:val="24"/>
          <w:szCs w:val="24"/>
        </w:rPr>
      </w:pPr>
    </w:p>
    <w:p w:rsidR="00521636" w:rsidRPr="00C66EBD" w:rsidRDefault="00742900" w:rsidP="00C66EBD">
      <w:pPr>
        <w:widowControl w:val="0"/>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spacing w:line="360" w:lineRule="auto"/>
        <w:rPr>
          <w:sz w:val="24"/>
          <w:szCs w:val="24"/>
          <w:u w:val="single"/>
        </w:rPr>
      </w:pPr>
      <w:r w:rsidRPr="00C66EBD">
        <w:rPr>
          <w:sz w:val="24"/>
          <w:szCs w:val="24"/>
          <w:u w:val="single"/>
        </w:rPr>
        <w:t>OTHER</w:t>
      </w:r>
    </w:p>
    <w:p w:rsidR="00521636" w:rsidRDefault="000C3167" w:rsidP="00C66EBD">
      <w:pPr>
        <w:widowControl w:val="0"/>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both"/>
        <w:rPr>
          <w:sz w:val="24"/>
          <w:szCs w:val="24"/>
        </w:rPr>
      </w:pPr>
      <w:r w:rsidRPr="00C66EBD">
        <w:rPr>
          <w:sz w:val="24"/>
          <w:szCs w:val="24"/>
        </w:rPr>
        <w:t>N/A</w:t>
      </w:r>
    </w:p>
    <w:sectPr w:rsidR="00521636" w:rsidSect="00C94EBD">
      <w:footerReference w:type="default" r:id="rId9"/>
      <w:pgSz w:w="12240" w:h="15840"/>
      <w:pgMar w:top="1440" w:right="1440" w:bottom="1152"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47B" w:rsidRDefault="00C6047B">
      <w:r>
        <w:separator/>
      </w:r>
    </w:p>
  </w:endnote>
  <w:endnote w:type="continuationSeparator" w:id="0">
    <w:p w:rsidR="00C6047B" w:rsidRDefault="00C60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103F" w:rsidRDefault="007F6300">
    <w:pPr>
      <w:pStyle w:val="Footer"/>
      <w:tabs>
        <w:tab w:val="clear" w:pos="8640"/>
        <w:tab w:val="right" w:pos="9270"/>
      </w:tabs>
      <w:rPr>
        <w:sz w:val="24"/>
        <w:szCs w:val="24"/>
      </w:rPr>
    </w:pPr>
    <w:r w:rsidRPr="007F6300">
      <w:rPr>
        <w:sz w:val="24"/>
        <w:szCs w:val="24"/>
      </w:rPr>
      <w:t>12237 PER20130001</w:t>
    </w:r>
    <w:r w:rsidR="00C8103F">
      <w:rPr>
        <w:sz w:val="24"/>
        <w:szCs w:val="24"/>
      </w:rPr>
      <w:tab/>
    </w:r>
    <w:r w:rsidR="00C8103F">
      <w:rPr>
        <w:sz w:val="24"/>
        <w:szCs w:val="24"/>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47B" w:rsidRDefault="00C6047B">
      <w:r>
        <w:separator/>
      </w:r>
    </w:p>
  </w:footnote>
  <w:footnote w:type="continuationSeparator" w:id="0">
    <w:p w:rsidR="00C6047B" w:rsidRDefault="00C604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7C59BA"/>
    <w:multiLevelType w:val="hybridMultilevel"/>
    <w:tmpl w:val="F182C0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3684840"/>
    <w:multiLevelType w:val="hybridMultilevel"/>
    <w:tmpl w:val="177095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53D32FB"/>
    <w:multiLevelType w:val="hybridMultilevel"/>
    <w:tmpl w:val="7576AB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04B4794"/>
    <w:multiLevelType w:val="multilevel"/>
    <w:tmpl w:val="6FEC1544"/>
    <w:lvl w:ilvl="0">
      <w:start w:val="1"/>
      <w:numFmt w:val="upperRoman"/>
      <w:suff w:val="nothing"/>
      <w:lvlText w:val="Part %1"/>
      <w:lvlJc w:val="center"/>
      <w:pPr>
        <w:ind w:left="216" w:firstLine="4104"/>
      </w:pPr>
      <w:rPr>
        <w:rFonts w:ascii="Times New Roman" w:hAnsi="Times New Roman" w:cs="Times New Roman" w:hint="default"/>
        <w:b/>
        <w:bCs/>
        <w:i w:val="0"/>
        <w:iCs w:val="0"/>
        <w:sz w:val="24"/>
        <w:szCs w:val="24"/>
      </w:rPr>
    </w:lvl>
    <w:lvl w:ilvl="1">
      <w:start w:val="1"/>
      <w:numFmt w:val="decimal"/>
      <w:pStyle w:val="Other"/>
      <w:lvlText w:val="%2."/>
      <w:lvlJc w:val="left"/>
      <w:pPr>
        <w:tabs>
          <w:tab w:val="num" w:pos="720"/>
        </w:tabs>
        <w:ind w:left="720" w:hanging="720"/>
      </w:pPr>
      <w:rPr>
        <w:rFonts w:hint="default"/>
      </w:rPr>
    </w:lvl>
    <w:lvl w:ilvl="2">
      <w:start w:val="1"/>
      <w:numFmt w:val="lowerLetter"/>
      <w:lvlText w:val="%3."/>
      <w:lvlJc w:val="left"/>
      <w:pPr>
        <w:tabs>
          <w:tab w:val="num" w:pos="1080"/>
        </w:tabs>
        <w:ind w:left="1080" w:hanging="360"/>
      </w:pPr>
      <w:rPr>
        <w:rFonts w:hint="default"/>
      </w:rPr>
    </w:lvl>
    <w:lvl w:ilvl="3">
      <w:start w:val="1"/>
      <w:numFmt w:val="lowerRoman"/>
      <w:lvlText w:val="%4)"/>
      <w:lvlJc w:val="left"/>
      <w:pPr>
        <w:tabs>
          <w:tab w:val="num" w:pos="1800"/>
        </w:tabs>
        <w:ind w:left="1512" w:hanging="432"/>
      </w:pPr>
      <w:rPr>
        <w:rFonts w:hint="default"/>
      </w:rPr>
    </w:lvl>
    <w:lvl w:ilvl="4">
      <w:start w:val="1"/>
      <w:numFmt w:val="bullet"/>
      <w:lvlText w:val=""/>
      <w:lvlJc w:val="left"/>
      <w:pPr>
        <w:tabs>
          <w:tab w:val="num" w:pos="1800"/>
        </w:tabs>
        <w:ind w:left="1800" w:hanging="360"/>
      </w:pPr>
      <w:rPr>
        <w:rFonts w:ascii="Symbol" w:hAnsi="Symbol" w:cs="Symbol" w:hint="default"/>
      </w:rPr>
    </w:lvl>
    <w:lvl w:ilvl="5">
      <w:start w:val="1"/>
      <w:numFmt w:val="bullet"/>
      <w:lvlText w:val=""/>
      <w:lvlJc w:val="left"/>
      <w:pPr>
        <w:tabs>
          <w:tab w:val="num" w:pos="2160"/>
        </w:tabs>
        <w:ind w:left="2160" w:hanging="360"/>
      </w:pPr>
      <w:rPr>
        <w:rFonts w:ascii="Wingdings" w:hAnsi="Wingdings" w:cs="Wingdings" w:hint="default"/>
      </w:rPr>
    </w:lvl>
    <w:lvl w:ilvl="6">
      <w:start w:val="1"/>
      <w:numFmt w:val="bullet"/>
      <w:lvlText w:val=""/>
      <w:lvlJc w:val="left"/>
      <w:pPr>
        <w:tabs>
          <w:tab w:val="num" w:pos="2520"/>
        </w:tabs>
        <w:ind w:left="2520" w:hanging="360"/>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4">
    <w:nsid w:val="7D405175"/>
    <w:multiLevelType w:val="hybridMultilevel"/>
    <w:tmpl w:val="251CFC7E"/>
    <w:lvl w:ilvl="0" w:tplc="AC140B20">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1636"/>
    <w:rsid w:val="00031F97"/>
    <w:rsid w:val="00063CAA"/>
    <w:rsid w:val="0006651A"/>
    <w:rsid w:val="00070082"/>
    <w:rsid w:val="00091759"/>
    <w:rsid w:val="00093CA1"/>
    <w:rsid w:val="000C26E0"/>
    <w:rsid w:val="000C3167"/>
    <w:rsid w:val="001106A6"/>
    <w:rsid w:val="001869CF"/>
    <w:rsid w:val="0018713F"/>
    <w:rsid w:val="001D08EB"/>
    <w:rsid w:val="00215C61"/>
    <w:rsid w:val="002573D0"/>
    <w:rsid w:val="002867BA"/>
    <w:rsid w:val="002A005D"/>
    <w:rsid w:val="002B426F"/>
    <w:rsid w:val="002F7D3C"/>
    <w:rsid w:val="00300A09"/>
    <w:rsid w:val="00304FBA"/>
    <w:rsid w:val="00330F6C"/>
    <w:rsid w:val="00350E91"/>
    <w:rsid w:val="003C087D"/>
    <w:rsid w:val="00410609"/>
    <w:rsid w:val="00410F66"/>
    <w:rsid w:val="00435DF2"/>
    <w:rsid w:val="00450D5C"/>
    <w:rsid w:val="004607B1"/>
    <w:rsid w:val="00465706"/>
    <w:rsid w:val="004734AA"/>
    <w:rsid w:val="004C0422"/>
    <w:rsid w:val="005077C7"/>
    <w:rsid w:val="00521636"/>
    <w:rsid w:val="00522C9C"/>
    <w:rsid w:val="005404E9"/>
    <w:rsid w:val="00593D37"/>
    <w:rsid w:val="00595227"/>
    <w:rsid w:val="005A6353"/>
    <w:rsid w:val="005E47E8"/>
    <w:rsid w:val="005F613F"/>
    <w:rsid w:val="00637BB5"/>
    <w:rsid w:val="00654BF1"/>
    <w:rsid w:val="006E5ACC"/>
    <w:rsid w:val="00740B91"/>
    <w:rsid w:val="00742900"/>
    <w:rsid w:val="00760481"/>
    <w:rsid w:val="00764BA1"/>
    <w:rsid w:val="00770963"/>
    <w:rsid w:val="00773890"/>
    <w:rsid w:val="00790543"/>
    <w:rsid w:val="007A6614"/>
    <w:rsid w:val="007D0D47"/>
    <w:rsid w:val="007D6CE7"/>
    <w:rsid w:val="007E35DA"/>
    <w:rsid w:val="007F6300"/>
    <w:rsid w:val="00801798"/>
    <w:rsid w:val="00810526"/>
    <w:rsid w:val="0088138C"/>
    <w:rsid w:val="00897896"/>
    <w:rsid w:val="009027C5"/>
    <w:rsid w:val="009050B1"/>
    <w:rsid w:val="00910EF1"/>
    <w:rsid w:val="00996201"/>
    <w:rsid w:val="009F420C"/>
    <w:rsid w:val="00A2141C"/>
    <w:rsid w:val="00A55AE8"/>
    <w:rsid w:val="00A55EC3"/>
    <w:rsid w:val="00A83F40"/>
    <w:rsid w:val="00AC73EC"/>
    <w:rsid w:val="00AD1550"/>
    <w:rsid w:val="00AF482D"/>
    <w:rsid w:val="00B207A8"/>
    <w:rsid w:val="00BF7E2E"/>
    <w:rsid w:val="00C12DE4"/>
    <w:rsid w:val="00C14A1A"/>
    <w:rsid w:val="00C21C18"/>
    <w:rsid w:val="00C6047B"/>
    <w:rsid w:val="00C66EBD"/>
    <w:rsid w:val="00C8103F"/>
    <w:rsid w:val="00C94EBD"/>
    <w:rsid w:val="00CE59AD"/>
    <w:rsid w:val="00D076BF"/>
    <w:rsid w:val="00D33CF9"/>
    <w:rsid w:val="00D356AA"/>
    <w:rsid w:val="00D623FC"/>
    <w:rsid w:val="00DD6D44"/>
    <w:rsid w:val="00E04BF9"/>
    <w:rsid w:val="00E91E43"/>
    <w:rsid w:val="00EA62DB"/>
    <w:rsid w:val="00ED2590"/>
    <w:rsid w:val="00F009DF"/>
    <w:rsid w:val="00F1133F"/>
    <w:rsid w:val="00F12B72"/>
    <w:rsid w:val="00FC5656"/>
    <w:rsid w:val="00FD4D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uiPriority="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nhideWhenUsed="1"/>
    <w:lsdException w:name="annotation text" w:uiPriority="0" w:unhideWhenUsed="1"/>
    <w:lsdException w:name="footer" w:uiPriority="0"/>
    <w:lsdException w:name="index heading" w:unhideWhenUsed="1"/>
    <w:lsdException w:name="caption" w:semiHidden="0"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3" w:uiPriority="0"/>
    <w:lsdException w:name="Block Text" w:unhideWhenUsed="1"/>
    <w:lsdException w:name="Hyperlink" w:unhideWhenUsed="1"/>
    <w:lsdException w:name="FollowedHyperlink" w:unhideWhenUsed="1"/>
    <w:lsdException w:name="Strong" w:semiHidden="0" w:uiPriority="22" w:qFormat="1"/>
    <w:lsdException w:name="Emphasis" w:semiHidden="0"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FC5656"/>
    <w:pPr>
      <w:autoSpaceDE w:val="0"/>
      <w:autoSpaceDN w:val="0"/>
      <w:spacing w:after="0" w:line="240" w:lineRule="auto"/>
    </w:pPr>
    <w:rPr>
      <w:sz w:val="20"/>
      <w:szCs w:val="20"/>
    </w:rPr>
  </w:style>
  <w:style w:type="paragraph" w:styleId="Heading1">
    <w:name w:val="heading 1"/>
    <w:basedOn w:val="Normal"/>
    <w:next w:val="Normal"/>
    <w:link w:val="Heading1Char"/>
    <w:uiPriority w:val="99"/>
    <w:qFormat/>
    <w:rsid w:val="00C94EBD"/>
    <w:pPr>
      <w:keepNext/>
      <w:tabs>
        <w:tab w:val="left" w:pos="900"/>
      </w:tabs>
      <w:outlineLvl w:val="0"/>
    </w:pPr>
    <w:rPr>
      <w:color w:val="000000"/>
      <w:sz w:val="24"/>
      <w:szCs w:val="24"/>
    </w:rPr>
  </w:style>
  <w:style w:type="paragraph" w:styleId="Heading2">
    <w:name w:val="heading 2"/>
    <w:basedOn w:val="Normal"/>
    <w:next w:val="Normal"/>
    <w:link w:val="Heading2Char"/>
    <w:uiPriority w:val="99"/>
    <w:qFormat/>
    <w:rsid w:val="00C94EBD"/>
    <w:pPr>
      <w:keepNext/>
      <w:widowControl w:val="0"/>
      <w:tabs>
        <w:tab w:val="left" w:pos="90"/>
      </w:tabs>
      <w:outlineLvl w:val="1"/>
    </w:pPr>
    <w:rPr>
      <w:color w:val="000000"/>
      <w:sz w:val="24"/>
      <w:szCs w:val="24"/>
    </w:rPr>
  </w:style>
  <w:style w:type="paragraph" w:styleId="Heading3">
    <w:name w:val="heading 3"/>
    <w:basedOn w:val="Normal"/>
    <w:next w:val="Normal"/>
    <w:link w:val="Heading3Char"/>
    <w:uiPriority w:val="99"/>
    <w:qFormat/>
    <w:rsid w:val="00C94EBD"/>
    <w:pPr>
      <w:keepNext/>
      <w:widowControl w:val="0"/>
      <w:tabs>
        <w:tab w:val="left" w:pos="4860"/>
      </w:tabs>
      <w:spacing w:after="240"/>
      <w:ind w:left="4867"/>
      <w:outlineLvl w:val="2"/>
    </w:pPr>
    <w:rPr>
      <w:color w:val="000000"/>
      <w:sz w:val="24"/>
      <w:szCs w:val="24"/>
    </w:rPr>
  </w:style>
  <w:style w:type="paragraph" w:styleId="Heading4">
    <w:name w:val="heading 4"/>
    <w:basedOn w:val="Normal"/>
    <w:next w:val="Normal"/>
    <w:link w:val="Heading4Char"/>
    <w:qFormat/>
    <w:rsid w:val="00C94EBD"/>
    <w:pPr>
      <w:keepNext/>
      <w:tabs>
        <w:tab w:val="left" w:pos="4320"/>
      </w:tabs>
      <w:ind w:left="4320" w:hanging="461"/>
      <w:outlineLvl w:val="3"/>
    </w:pPr>
    <w:rPr>
      <w:sz w:val="24"/>
      <w:szCs w:val="24"/>
    </w:rPr>
  </w:style>
  <w:style w:type="paragraph" w:styleId="Heading5">
    <w:name w:val="heading 5"/>
    <w:basedOn w:val="Normal"/>
    <w:next w:val="Normal"/>
    <w:link w:val="Heading5Char"/>
    <w:uiPriority w:val="99"/>
    <w:qFormat/>
    <w:rsid w:val="00C94EBD"/>
    <w:pPr>
      <w:keepNext/>
      <w:jc w:val="center"/>
      <w:outlineLvl w:val="4"/>
    </w:pPr>
    <w:rPr>
      <w:rFonts w:ascii="Arial" w:hAnsi="Arial" w:cs="Arial"/>
      <w:b/>
      <w:bCs/>
      <w:color w:val="FFFFFF"/>
    </w:rPr>
  </w:style>
  <w:style w:type="paragraph" w:styleId="Heading6">
    <w:name w:val="heading 6"/>
    <w:basedOn w:val="Normal"/>
    <w:next w:val="Normal"/>
    <w:link w:val="Heading6Char"/>
    <w:uiPriority w:val="99"/>
    <w:qFormat/>
    <w:rsid w:val="00C94EBD"/>
    <w:pPr>
      <w:keepNext/>
      <w:tabs>
        <w:tab w:val="left" w:pos="4320"/>
        <w:tab w:val="left" w:pos="4860"/>
        <w:tab w:val="left" w:pos="5220"/>
      </w:tabs>
      <w:ind w:left="3600"/>
      <w:outlineLvl w:val="5"/>
    </w:pPr>
    <w:rPr>
      <w:color w:val="000000"/>
      <w:sz w:val="24"/>
      <w:szCs w:val="24"/>
    </w:rPr>
  </w:style>
  <w:style w:type="paragraph" w:styleId="Heading7">
    <w:name w:val="heading 7"/>
    <w:basedOn w:val="Normal"/>
    <w:next w:val="Normal"/>
    <w:link w:val="Heading7Char"/>
    <w:uiPriority w:val="99"/>
    <w:qFormat/>
    <w:rsid w:val="00C94EBD"/>
    <w:pPr>
      <w:keepNext/>
      <w:tabs>
        <w:tab w:val="left" w:pos="900"/>
      </w:tabs>
      <w:spacing w:before="120" w:after="120"/>
      <w:jc w:val="center"/>
      <w:outlineLvl w:val="6"/>
    </w:pPr>
    <w:rPr>
      <w:color w:val="000000"/>
      <w:sz w:val="24"/>
      <w:szCs w:val="24"/>
    </w:rPr>
  </w:style>
  <w:style w:type="paragraph" w:styleId="Heading8">
    <w:name w:val="heading 8"/>
    <w:basedOn w:val="Normal"/>
    <w:next w:val="Normal"/>
    <w:link w:val="Heading8Char"/>
    <w:uiPriority w:val="99"/>
    <w:qFormat/>
    <w:rsid w:val="00C94EBD"/>
    <w:pPr>
      <w:keepNext/>
      <w:tabs>
        <w:tab w:val="left" w:pos="90"/>
      </w:tabs>
      <w:jc w:val="center"/>
      <w:outlineLvl w:val="7"/>
    </w:pPr>
    <w:rPr>
      <w:b/>
      <w:bCs/>
      <w:sz w:val="24"/>
      <w:szCs w:val="24"/>
      <w:u w:val="single"/>
    </w:rPr>
  </w:style>
  <w:style w:type="paragraph" w:styleId="Heading9">
    <w:name w:val="heading 9"/>
    <w:basedOn w:val="Normal"/>
    <w:next w:val="Normal"/>
    <w:link w:val="Heading9Char"/>
    <w:uiPriority w:val="99"/>
    <w:qFormat/>
    <w:rsid w:val="00C94EBD"/>
    <w:pPr>
      <w:keepNext/>
      <w:tabs>
        <w:tab w:val="left" w:pos="90"/>
      </w:tabs>
      <w:outlineLvl w:val="8"/>
    </w:pPr>
    <w:rPr>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4EBD"/>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C94EBD"/>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C94EBD"/>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C94EBD"/>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C94EBD"/>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C94EBD"/>
    <w:rPr>
      <w:rFonts w:asciiTheme="minorHAnsi" w:eastAsiaTheme="minorEastAsia" w:hAnsiTheme="minorHAnsi" w:cstheme="minorBidi"/>
      <w:b/>
      <w:bCs/>
    </w:rPr>
  </w:style>
  <w:style w:type="character" w:customStyle="1" w:styleId="Heading7Char">
    <w:name w:val="Heading 7 Char"/>
    <w:basedOn w:val="DefaultParagraphFont"/>
    <w:link w:val="Heading7"/>
    <w:uiPriority w:val="9"/>
    <w:semiHidden/>
    <w:rsid w:val="00C94EBD"/>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C94EBD"/>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C94EBD"/>
    <w:rPr>
      <w:rFonts w:asciiTheme="majorHAnsi" w:eastAsiaTheme="majorEastAsia" w:hAnsiTheme="majorHAnsi" w:cstheme="majorBidi"/>
    </w:rPr>
  </w:style>
  <w:style w:type="paragraph" w:styleId="BodyText">
    <w:name w:val="Body Text"/>
    <w:basedOn w:val="Normal"/>
    <w:link w:val="BodyTextChar"/>
    <w:uiPriority w:val="99"/>
    <w:rsid w:val="00C94EBD"/>
    <w:pPr>
      <w:widowControl w:val="0"/>
      <w:spacing w:after="120"/>
    </w:pPr>
    <w:rPr>
      <w:sz w:val="24"/>
      <w:szCs w:val="24"/>
    </w:rPr>
  </w:style>
  <w:style w:type="character" w:customStyle="1" w:styleId="BodyTextChar">
    <w:name w:val="Body Text Char"/>
    <w:basedOn w:val="DefaultParagraphFont"/>
    <w:link w:val="BodyText"/>
    <w:uiPriority w:val="99"/>
    <w:semiHidden/>
    <w:rsid w:val="00C94EBD"/>
    <w:rPr>
      <w:sz w:val="20"/>
      <w:szCs w:val="20"/>
    </w:rPr>
  </w:style>
  <w:style w:type="paragraph" w:styleId="BodyText2">
    <w:name w:val="Body Text 2"/>
    <w:basedOn w:val="Normal"/>
    <w:link w:val="BodyText2Char"/>
    <w:uiPriority w:val="99"/>
    <w:rsid w:val="00C94EBD"/>
    <w:pPr>
      <w:tabs>
        <w:tab w:val="left" w:pos="900"/>
      </w:tabs>
      <w:spacing w:before="120" w:after="120"/>
      <w:jc w:val="both"/>
    </w:pPr>
    <w:rPr>
      <w:color w:val="000000"/>
      <w:sz w:val="24"/>
      <w:szCs w:val="24"/>
    </w:rPr>
  </w:style>
  <w:style w:type="character" w:customStyle="1" w:styleId="BodyText2Char">
    <w:name w:val="Body Text 2 Char"/>
    <w:basedOn w:val="DefaultParagraphFont"/>
    <w:link w:val="BodyText2"/>
    <w:uiPriority w:val="99"/>
    <w:semiHidden/>
    <w:rsid w:val="00C94EBD"/>
    <w:rPr>
      <w:sz w:val="20"/>
      <w:szCs w:val="20"/>
    </w:rPr>
  </w:style>
  <w:style w:type="paragraph" w:styleId="Footer">
    <w:name w:val="footer"/>
    <w:basedOn w:val="Normal"/>
    <w:link w:val="FooterChar"/>
    <w:rsid w:val="00C94EBD"/>
    <w:pPr>
      <w:tabs>
        <w:tab w:val="center" w:pos="4320"/>
        <w:tab w:val="right" w:pos="8640"/>
      </w:tabs>
    </w:pPr>
  </w:style>
  <w:style w:type="character" w:customStyle="1" w:styleId="FooterChar">
    <w:name w:val="Footer Char"/>
    <w:basedOn w:val="DefaultParagraphFont"/>
    <w:link w:val="Footer"/>
    <w:uiPriority w:val="99"/>
    <w:semiHidden/>
    <w:rsid w:val="00C94EBD"/>
    <w:rPr>
      <w:sz w:val="20"/>
      <w:szCs w:val="20"/>
    </w:rPr>
  </w:style>
  <w:style w:type="paragraph" w:customStyle="1" w:styleId="ReferenceLine">
    <w:name w:val="Reference Line"/>
    <w:basedOn w:val="BodyText"/>
    <w:rsid w:val="00C94EBD"/>
  </w:style>
  <w:style w:type="paragraph" w:customStyle="1" w:styleId="CcList">
    <w:name w:val="Cc List"/>
    <w:basedOn w:val="Normal"/>
    <w:uiPriority w:val="99"/>
    <w:rsid w:val="00C94EBD"/>
    <w:pPr>
      <w:widowControl w:val="0"/>
    </w:pPr>
    <w:rPr>
      <w:sz w:val="24"/>
      <w:szCs w:val="24"/>
    </w:rPr>
  </w:style>
  <w:style w:type="paragraph" w:styleId="BodyText3">
    <w:name w:val="Body Text 3"/>
    <w:basedOn w:val="Normal"/>
    <w:link w:val="BodyText3Char"/>
    <w:rsid w:val="00C94EBD"/>
    <w:pPr>
      <w:widowControl w:val="0"/>
      <w:tabs>
        <w:tab w:val="left" w:pos="90"/>
      </w:tabs>
      <w:spacing w:after="240"/>
    </w:pPr>
    <w:rPr>
      <w:color w:val="000000"/>
      <w:sz w:val="24"/>
      <w:szCs w:val="24"/>
    </w:rPr>
  </w:style>
  <w:style w:type="character" w:customStyle="1" w:styleId="BodyText3Char">
    <w:name w:val="Body Text 3 Char"/>
    <w:basedOn w:val="DefaultParagraphFont"/>
    <w:link w:val="BodyText3"/>
    <w:uiPriority w:val="99"/>
    <w:semiHidden/>
    <w:rsid w:val="00C94EBD"/>
    <w:rPr>
      <w:sz w:val="16"/>
      <w:szCs w:val="16"/>
    </w:rPr>
  </w:style>
  <w:style w:type="paragraph" w:styleId="Caption">
    <w:name w:val="caption"/>
    <w:basedOn w:val="Normal"/>
    <w:next w:val="Normal"/>
    <w:uiPriority w:val="99"/>
    <w:qFormat/>
    <w:rsid w:val="00C94EBD"/>
    <w:pPr>
      <w:tabs>
        <w:tab w:val="center" w:pos="4650"/>
      </w:tabs>
    </w:pPr>
    <w:rPr>
      <w:color w:val="000000"/>
      <w:sz w:val="24"/>
      <w:szCs w:val="24"/>
    </w:rPr>
  </w:style>
  <w:style w:type="paragraph" w:styleId="BodyTextIndent2">
    <w:name w:val="Body Text Indent 2"/>
    <w:basedOn w:val="Normal"/>
    <w:link w:val="BodyTextIndent2Char"/>
    <w:uiPriority w:val="99"/>
    <w:rsid w:val="00C94EBD"/>
    <w:pPr>
      <w:tabs>
        <w:tab w:val="left" w:pos="5220"/>
      </w:tabs>
      <w:ind w:left="4320"/>
    </w:pPr>
    <w:rPr>
      <w:color w:val="000000"/>
      <w:sz w:val="24"/>
      <w:szCs w:val="24"/>
    </w:rPr>
  </w:style>
  <w:style w:type="character" w:customStyle="1" w:styleId="BodyTextIndent2Char">
    <w:name w:val="Body Text Indent 2 Char"/>
    <w:basedOn w:val="DefaultParagraphFont"/>
    <w:link w:val="BodyTextIndent2"/>
    <w:uiPriority w:val="99"/>
    <w:semiHidden/>
    <w:rsid w:val="00C94EBD"/>
    <w:rPr>
      <w:sz w:val="20"/>
      <w:szCs w:val="20"/>
    </w:rPr>
  </w:style>
  <w:style w:type="paragraph" w:styleId="BodyTextIndent3">
    <w:name w:val="Body Text Indent 3"/>
    <w:basedOn w:val="Normal"/>
    <w:link w:val="BodyTextIndent3Char"/>
    <w:uiPriority w:val="99"/>
    <w:rsid w:val="00C94EBD"/>
    <w:pPr>
      <w:tabs>
        <w:tab w:val="left" w:pos="5220"/>
      </w:tabs>
      <w:ind w:left="4320"/>
    </w:pPr>
    <w:rPr>
      <w:sz w:val="24"/>
      <w:szCs w:val="24"/>
    </w:rPr>
  </w:style>
  <w:style w:type="character" w:customStyle="1" w:styleId="BodyTextIndent3Char">
    <w:name w:val="Body Text Indent 3 Char"/>
    <w:basedOn w:val="DefaultParagraphFont"/>
    <w:link w:val="BodyTextIndent3"/>
    <w:uiPriority w:val="99"/>
    <w:semiHidden/>
    <w:rsid w:val="00C94EBD"/>
    <w:rPr>
      <w:sz w:val="16"/>
      <w:szCs w:val="16"/>
    </w:rPr>
  </w:style>
  <w:style w:type="paragraph" w:customStyle="1" w:styleId="1">
    <w:name w:val="1"/>
    <w:aliases w:val="2,3"/>
    <w:uiPriority w:val="99"/>
    <w:rsid w:val="00C94EBD"/>
    <w:pPr>
      <w:autoSpaceDE w:val="0"/>
      <w:autoSpaceDN w:val="0"/>
      <w:spacing w:after="0" w:line="240" w:lineRule="auto"/>
      <w:ind w:left="720"/>
    </w:pPr>
    <w:rPr>
      <w:rFonts w:ascii="CG Times" w:hAnsi="CG Times" w:cs="CG Times"/>
      <w:sz w:val="24"/>
      <w:szCs w:val="24"/>
    </w:rPr>
  </w:style>
  <w:style w:type="paragraph" w:styleId="Header">
    <w:name w:val="header"/>
    <w:basedOn w:val="Normal"/>
    <w:link w:val="HeaderChar"/>
    <w:uiPriority w:val="99"/>
    <w:rsid w:val="00C94EBD"/>
    <w:pPr>
      <w:tabs>
        <w:tab w:val="center" w:pos="4320"/>
        <w:tab w:val="right" w:pos="8640"/>
      </w:tabs>
    </w:pPr>
  </w:style>
  <w:style w:type="character" w:customStyle="1" w:styleId="HeaderChar">
    <w:name w:val="Header Char"/>
    <w:basedOn w:val="DefaultParagraphFont"/>
    <w:link w:val="Header"/>
    <w:uiPriority w:val="99"/>
    <w:semiHidden/>
    <w:rsid w:val="00C94EBD"/>
    <w:rPr>
      <w:sz w:val="20"/>
      <w:szCs w:val="20"/>
    </w:rPr>
  </w:style>
  <w:style w:type="paragraph" w:styleId="BalloonText">
    <w:name w:val="Balloon Text"/>
    <w:basedOn w:val="Normal"/>
    <w:link w:val="BalloonTextChar"/>
    <w:uiPriority w:val="99"/>
    <w:semiHidden/>
    <w:rsid w:val="00C94EBD"/>
    <w:rPr>
      <w:rFonts w:ascii="Tahoma" w:hAnsi="Tahoma" w:cs="Tahoma"/>
      <w:sz w:val="16"/>
      <w:szCs w:val="16"/>
    </w:rPr>
  </w:style>
  <w:style w:type="character" w:customStyle="1" w:styleId="BalloonTextChar">
    <w:name w:val="Balloon Text Char"/>
    <w:basedOn w:val="DefaultParagraphFont"/>
    <w:link w:val="BalloonText"/>
    <w:uiPriority w:val="99"/>
    <w:semiHidden/>
    <w:rsid w:val="00C94EBD"/>
    <w:rPr>
      <w:rFonts w:ascii="Tahoma" w:hAnsi="Tahoma" w:cs="Tahoma"/>
      <w:sz w:val="16"/>
      <w:szCs w:val="16"/>
    </w:rPr>
  </w:style>
  <w:style w:type="paragraph" w:styleId="CommentText">
    <w:name w:val="annotation text"/>
    <w:basedOn w:val="Normal"/>
    <w:link w:val="CommentTextChar"/>
    <w:semiHidden/>
    <w:rsid w:val="00C94EBD"/>
    <w:pPr>
      <w:widowControl w:val="0"/>
    </w:pPr>
  </w:style>
  <w:style w:type="character" w:customStyle="1" w:styleId="CommentTextChar">
    <w:name w:val="Comment Text Char"/>
    <w:basedOn w:val="DefaultParagraphFont"/>
    <w:link w:val="CommentText"/>
    <w:semiHidden/>
    <w:rsid w:val="00C94EBD"/>
    <w:rPr>
      <w:sz w:val="20"/>
      <w:szCs w:val="20"/>
    </w:rPr>
  </w:style>
  <w:style w:type="paragraph" w:customStyle="1" w:styleId="Preformatted">
    <w:name w:val="Preformatted"/>
    <w:basedOn w:val="Normal"/>
    <w:rsid w:val="00C94EBD"/>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pPr>
    <w:rPr>
      <w:rFonts w:ascii="Courier New" w:hAnsi="Courier New"/>
      <w:snapToGrid w:val="0"/>
    </w:rPr>
  </w:style>
  <w:style w:type="paragraph" w:styleId="BodyTextIndent">
    <w:name w:val="Body Text Indent"/>
    <w:basedOn w:val="Normal"/>
    <w:link w:val="BodyTextIndentChar"/>
    <w:uiPriority w:val="99"/>
    <w:unhideWhenUsed/>
    <w:rsid w:val="00C94EBD"/>
    <w:pPr>
      <w:spacing w:after="120"/>
      <w:ind w:left="360"/>
    </w:pPr>
  </w:style>
  <w:style w:type="character" w:customStyle="1" w:styleId="BodyTextIndentChar">
    <w:name w:val="Body Text Indent Char"/>
    <w:basedOn w:val="DefaultParagraphFont"/>
    <w:link w:val="BodyTextIndent"/>
    <w:uiPriority w:val="99"/>
    <w:rsid w:val="00C94EBD"/>
    <w:rPr>
      <w:sz w:val="20"/>
      <w:szCs w:val="20"/>
    </w:rPr>
  </w:style>
  <w:style w:type="paragraph" w:customStyle="1" w:styleId="Other">
    <w:name w:val="Other"/>
    <w:basedOn w:val="BodyText"/>
    <w:rsid w:val="00C94EBD"/>
    <w:pPr>
      <w:widowControl/>
      <w:numPr>
        <w:ilvl w:val="1"/>
        <w:numId w:val="3"/>
      </w:numPr>
      <w:spacing w:after="240"/>
      <w:jc w:val="both"/>
    </w:pPr>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uiPriority="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nhideWhenUsed="1"/>
    <w:lsdException w:name="annotation text" w:uiPriority="0" w:unhideWhenUsed="1"/>
    <w:lsdException w:name="footer" w:uiPriority="0"/>
    <w:lsdException w:name="index heading" w:unhideWhenUsed="1"/>
    <w:lsdException w:name="caption" w:semiHidden="0"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3" w:uiPriority="0"/>
    <w:lsdException w:name="Block Text" w:unhideWhenUsed="1"/>
    <w:lsdException w:name="Hyperlink" w:unhideWhenUsed="1"/>
    <w:lsdException w:name="FollowedHyperlink" w:unhideWhenUsed="1"/>
    <w:lsdException w:name="Strong" w:semiHidden="0" w:uiPriority="22" w:qFormat="1"/>
    <w:lsdException w:name="Emphasis" w:semiHidden="0"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FC5656"/>
    <w:pPr>
      <w:autoSpaceDE w:val="0"/>
      <w:autoSpaceDN w:val="0"/>
      <w:spacing w:after="0" w:line="240" w:lineRule="auto"/>
    </w:pPr>
    <w:rPr>
      <w:sz w:val="20"/>
      <w:szCs w:val="20"/>
    </w:rPr>
  </w:style>
  <w:style w:type="paragraph" w:styleId="Heading1">
    <w:name w:val="heading 1"/>
    <w:basedOn w:val="Normal"/>
    <w:next w:val="Normal"/>
    <w:link w:val="Heading1Char"/>
    <w:uiPriority w:val="99"/>
    <w:qFormat/>
    <w:rsid w:val="00C94EBD"/>
    <w:pPr>
      <w:keepNext/>
      <w:tabs>
        <w:tab w:val="left" w:pos="900"/>
      </w:tabs>
      <w:outlineLvl w:val="0"/>
    </w:pPr>
    <w:rPr>
      <w:color w:val="000000"/>
      <w:sz w:val="24"/>
      <w:szCs w:val="24"/>
    </w:rPr>
  </w:style>
  <w:style w:type="paragraph" w:styleId="Heading2">
    <w:name w:val="heading 2"/>
    <w:basedOn w:val="Normal"/>
    <w:next w:val="Normal"/>
    <w:link w:val="Heading2Char"/>
    <w:uiPriority w:val="99"/>
    <w:qFormat/>
    <w:rsid w:val="00C94EBD"/>
    <w:pPr>
      <w:keepNext/>
      <w:widowControl w:val="0"/>
      <w:tabs>
        <w:tab w:val="left" w:pos="90"/>
      </w:tabs>
      <w:outlineLvl w:val="1"/>
    </w:pPr>
    <w:rPr>
      <w:color w:val="000000"/>
      <w:sz w:val="24"/>
      <w:szCs w:val="24"/>
    </w:rPr>
  </w:style>
  <w:style w:type="paragraph" w:styleId="Heading3">
    <w:name w:val="heading 3"/>
    <w:basedOn w:val="Normal"/>
    <w:next w:val="Normal"/>
    <w:link w:val="Heading3Char"/>
    <w:uiPriority w:val="99"/>
    <w:qFormat/>
    <w:rsid w:val="00C94EBD"/>
    <w:pPr>
      <w:keepNext/>
      <w:widowControl w:val="0"/>
      <w:tabs>
        <w:tab w:val="left" w:pos="4860"/>
      </w:tabs>
      <w:spacing w:after="240"/>
      <w:ind w:left="4867"/>
      <w:outlineLvl w:val="2"/>
    </w:pPr>
    <w:rPr>
      <w:color w:val="000000"/>
      <w:sz w:val="24"/>
      <w:szCs w:val="24"/>
    </w:rPr>
  </w:style>
  <w:style w:type="paragraph" w:styleId="Heading4">
    <w:name w:val="heading 4"/>
    <w:basedOn w:val="Normal"/>
    <w:next w:val="Normal"/>
    <w:link w:val="Heading4Char"/>
    <w:qFormat/>
    <w:rsid w:val="00C94EBD"/>
    <w:pPr>
      <w:keepNext/>
      <w:tabs>
        <w:tab w:val="left" w:pos="4320"/>
      </w:tabs>
      <w:ind w:left="4320" w:hanging="461"/>
      <w:outlineLvl w:val="3"/>
    </w:pPr>
    <w:rPr>
      <w:sz w:val="24"/>
      <w:szCs w:val="24"/>
    </w:rPr>
  </w:style>
  <w:style w:type="paragraph" w:styleId="Heading5">
    <w:name w:val="heading 5"/>
    <w:basedOn w:val="Normal"/>
    <w:next w:val="Normal"/>
    <w:link w:val="Heading5Char"/>
    <w:uiPriority w:val="99"/>
    <w:qFormat/>
    <w:rsid w:val="00C94EBD"/>
    <w:pPr>
      <w:keepNext/>
      <w:jc w:val="center"/>
      <w:outlineLvl w:val="4"/>
    </w:pPr>
    <w:rPr>
      <w:rFonts w:ascii="Arial" w:hAnsi="Arial" w:cs="Arial"/>
      <w:b/>
      <w:bCs/>
      <w:color w:val="FFFFFF"/>
    </w:rPr>
  </w:style>
  <w:style w:type="paragraph" w:styleId="Heading6">
    <w:name w:val="heading 6"/>
    <w:basedOn w:val="Normal"/>
    <w:next w:val="Normal"/>
    <w:link w:val="Heading6Char"/>
    <w:uiPriority w:val="99"/>
    <w:qFormat/>
    <w:rsid w:val="00C94EBD"/>
    <w:pPr>
      <w:keepNext/>
      <w:tabs>
        <w:tab w:val="left" w:pos="4320"/>
        <w:tab w:val="left" w:pos="4860"/>
        <w:tab w:val="left" w:pos="5220"/>
      </w:tabs>
      <w:ind w:left="3600"/>
      <w:outlineLvl w:val="5"/>
    </w:pPr>
    <w:rPr>
      <w:color w:val="000000"/>
      <w:sz w:val="24"/>
      <w:szCs w:val="24"/>
    </w:rPr>
  </w:style>
  <w:style w:type="paragraph" w:styleId="Heading7">
    <w:name w:val="heading 7"/>
    <w:basedOn w:val="Normal"/>
    <w:next w:val="Normal"/>
    <w:link w:val="Heading7Char"/>
    <w:uiPriority w:val="99"/>
    <w:qFormat/>
    <w:rsid w:val="00C94EBD"/>
    <w:pPr>
      <w:keepNext/>
      <w:tabs>
        <w:tab w:val="left" w:pos="900"/>
      </w:tabs>
      <w:spacing w:before="120" w:after="120"/>
      <w:jc w:val="center"/>
      <w:outlineLvl w:val="6"/>
    </w:pPr>
    <w:rPr>
      <w:color w:val="000000"/>
      <w:sz w:val="24"/>
      <w:szCs w:val="24"/>
    </w:rPr>
  </w:style>
  <w:style w:type="paragraph" w:styleId="Heading8">
    <w:name w:val="heading 8"/>
    <w:basedOn w:val="Normal"/>
    <w:next w:val="Normal"/>
    <w:link w:val="Heading8Char"/>
    <w:uiPriority w:val="99"/>
    <w:qFormat/>
    <w:rsid w:val="00C94EBD"/>
    <w:pPr>
      <w:keepNext/>
      <w:tabs>
        <w:tab w:val="left" w:pos="90"/>
      </w:tabs>
      <w:jc w:val="center"/>
      <w:outlineLvl w:val="7"/>
    </w:pPr>
    <w:rPr>
      <w:b/>
      <w:bCs/>
      <w:sz w:val="24"/>
      <w:szCs w:val="24"/>
      <w:u w:val="single"/>
    </w:rPr>
  </w:style>
  <w:style w:type="paragraph" w:styleId="Heading9">
    <w:name w:val="heading 9"/>
    <w:basedOn w:val="Normal"/>
    <w:next w:val="Normal"/>
    <w:link w:val="Heading9Char"/>
    <w:uiPriority w:val="99"/>
    <w:qFormat/>
    <w:rsid w:val="00C94EBD"/>
    <w:pPr>
      <w:keepNext/>
      <w:tabs>
        <w:tab w:val="left" w:pos="90"/>
      </w:tabs>
      <w:outlineLvl w:val="8"/>
    </w:pPr>
    <w:rPr>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4EBD"/>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C94EBD"/>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C94EBD"/>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C94EBD"/>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C94EBD"/>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C94EBD"/>
    <w:rPr>
      <w:rFonts w:asciiTheme="minorHAnsi" w:eastAsiaTheme="minorEastAsia" w:hAnsiTheme="minorHAnsi" w:cstheme="minorBidi"/>
      <w:b/>
      <w:bCs/>
    </w:rPr>
  </w:style>
  <w:style w:type="character" w:customStyle="1" w:styleId="Heading7Char">
    <w:name w:val="Heading 7 Char"/>
    <w:basedOn w:val="DefaultParagraphFont"/>
    <w:link w:val="Heading7"/>
    <w:uiPriority w:val="9"/>
    <w:semiHidden/>
    <w:rsid w:val="00C94EBD"/>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C94EBD"/>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C94EBD"/>
    <w:rPr>
      <w:rFonts w:asciiTheme="majorHAnsi" w:eastAsiaTheme="majorEastAsia" w:hAnsiTheme="majorHAnsi" w:cstheme="majorBidi"/>
    </w:rPr>
  </w:style>
  <w:style w:type="paragraph" w:styleId="BodyText">
    <w:name w:val="Body Text"/>
    <w:basedOn w:val="Normal"/>
    <w:link w:val="BodyTextChar"/>
    <w:uiPriority w:val="99"/>
    <w:rsid w:val="00C94EBD"/>
    <w:pPr>
      <w:widowControl w:val="0"/>
      <w:spacing w:after="120"/>
    </w:pPr>
    <w:rPr>
      <w:sz w:val="24"/>
      <w:szCs w:val="24"/>
    </w:rPr>
  </w:style>
  <w:style w:type="character" w:customStyle="1" w:styleId="BodyTextChar">
    <w:name w:val="Body Text Char"/>
    <w:basedOn w:val="DefaultParagraphFont"/>
    <w:link w:val="BodyText"/>
    <w:uiPriority w:val="99"/>
    <w:semiHidden/>
    <w:rsid w:val="00C94EBD"/>
    <w:rPr>
      <w:sz w:val="20"/>
      <w:szCs w:val="20"/>
    </w:rPr>
  </w:style>
  <w:style w:type="paragraph" w:styleId="BodyText2">
    <w:name w:val="Body Text 2"/>
    <w:basedOn w:val="Normal"/>
    <w:link w:val="BodyText2Char"/>
    <w:uiPriority w:val="99"/>
    <w:rsid w:val="00C94EBD"/>
    <w:pPr>
      <w:tabs>
        <w:tab w:val="left" w:pos="900"/>
      </w:tabs>
      <w:spacing w:before="120" w:after="120"/>
      <w:jc w:val="both"/>
    </w:pPr>
    <w:rPr>
      <w:color w:val="000000"/>
      <w:sz w:val="24"/>
      <w:szCs w:val="24"/>
    </w:rPr>
  </w:style>
  <w:style w:type="character" w:customStyle="1" w:styleId="BodyText2Char">
    <w:name w:val="Body Text 2 Char"/>
    <w:basedOn w:val="DefaultParagraphFont"/>
    <w:link w:val="BodyText2"/>
    <w:uiPriority w:val="99"/>
    <w:semiHidden/>
    <w:rsid w:val="00C94EBD"/>
    <w:rPr>
      <w:sz w:val="20"/>
      <w:szCs w:val="20"/>
    </w:rPr>
  </w:style>
  <w:style w:type="paragraph" w:styleId="Footer">
    <w:name w:val="footer"/>
    <w:basedOn w:val="Normal"/>
    <w:link w:val="FooterChar"/>
    <w:rsid w:val="00C94EBD"/>
    <w:pPr>
      <w:tabs>
        <w:tab w:val="center" w:pos="4320"/>
        <w:tab w:val="right" w:pos="8640"/>
      </w:tabs>
    </w:pPr>
  </w:style>
  <w:style w:type="character" w:customStyle="1" w:styleId="FooterChar">
    <w:name w:val="Footer Char"/>
    <w:basedOn w:val="DefaultParagraphFont"/>
    <w:link w:val="Footer"/>
    <w:uiPriority w:val="99"/>
    <w:semiHidden/>
    <w:rsid w:val="00C94EBD"/>
    <w:rPr>
      <w:sz w:val="20"/>
      <w:szCs w:val="20"/>
    </w:rPr>
  </w:style>
  <w:style w:type="paragraph" w:customStyle="1" w:styleId="ReferenceLine">
    <w:name w:val="Reference Line"/>
    <w:basedOn w:val="BodyText"/>
    <w:rsid w:val="00C94EBD"/>
  </w:style>
  <w:style w:type="paragraph" w:customStyle="1" w:styleId="CcList">
    <w:name w:val="Cc List"/>
    <w:basedOn w:val="Normal"/>
    <w:uiPriority w:val="99"/>
    <w:rsid w:val="00C94EBD"/>
    <w:pPr>
      <w:widowControl w:val="0"/>
    </w:pPr>
    <w:rPr>
      <w:sz w:val="24"/>
      <w:szCs w:val="24"/>
    </w:rPr>
  </w:style>
  <w:style w:type="paragraph" w:styleId="BodyText3">
    <w:name w:val="Body Text 3"/>
    <w:basedOn w:val="Normal"/>
    <w:link w:val="BodyText3Char"/>
    <w:rsid w:val="00C94EBD"/>
    <w:pPr>
      <w:widowControl w:val="0"/>
      <w:tabs>
        <w:tab w:val="left" w:pos="90"/>
      </w:tabs>
      <w:spacing w:after="240"/>
    </w:pPr>
    <w:rPr>
      <w:color w:val="000000"/>
      <w:sz w:val="24"/>
      <w:szCs w:val="24"/>
    </w:rPr>
  </w:style>
  <w:style w:type="character" w:customStyle="1" w:styleId="BodyText3Char">
    <w:name w:val="Body Text 3 Char"/>
    <w:basedOn w:val="DefaultParagraphFont"/>
    <w:link w:val="BodyText3"/>
    <w:uiPriority w:val="99"/>
    <w:semiHidden/>
    <w:rsid w:val="00C94EBD"/>
    <w:rPr>
      <w:sz w:val="16"/>
      <w:szCs w:val="16"/>
    </w:rPr>
  </w:style>
  <w:style w:type="paragraph" w:styleId="Caption">
    <w:name w:val="caption"/>
    <w:basedOn w:val="Normal"/>
    <w:next w:val="Normal"/>
    <w:uiPriority w:val="99"/>
    <w:qFormat/>
    <w:rsid w:val="00C94EBD"/>
    <w:pPr>
      <w:tabs>
        <w:tab w:val="center" w:pos="4650"/>
      </w:tabs>
    </w:pPr>
    <w:rPr>
      <w:color w:val="000000"/>
      <w:sz w:val="24"/>
      <w:szCs w:val="24"/>
    </w:rPr>
  </w:style>
  <w:style w:type="paragraph" w:styleId="BodyTextIndent2">
    <w:name w:val="Body Text Indent 2"/>
    <w:basedOn w:val="Normal"/>
    <w:link w:val="BodyTextIndent2Char"/>
    <w:uiPriority w:val="99"/>
    <w:rsid w:val="00C94EBD"/>
    <w:pPr>
      <w:tabs>
        <w:tab w:val="left" w:pos="5220"/>
      </w:tabs>
      <w:ind w:left="4320"/>
    </w:pPr>
    <w:rPr>
      <w:color w:val="000000"/>
      <w:sz w:val="24"/>
      <w:szCs w:val="24"/>
    </w:rPr>
  </w:style>
  <w:style w:type="character" w:customStyle="1" w:styleId="BodyTextIndent2Char">
    <w:name w:val="Body Text Indent 2 Char"/>
    <w:basedOn w:val="DefaultParagraphFont"/>
    <w:link w:val="BodyTextIndent2"/>
    <w:uiPriority w:val="99"/>
    <w:semiHidden/>
    <w:rsid w:val="00C94EBD"/>
    <w:rPr>
      <w:sz w:val="20"/>
      <w:szCs w:val="20"/>
    </w:rPr>
  </w:style>
  <w:style w:type="paragraph" w:styleId="BodyTextIndent3">
    <w:name w:val="Body Text Indent 3"/>
    <w:basedOn w:val="Normal"/>
    <w:link w:val="BodyTextIndent3Char"/>
    <w:uiPriority w:val="99"/>
    <w:rsid w:val="00C94EBD"/>
    <w:pPr>
      <w:tabs>
        <w:tab w:val="left" w:pos="5220"/>
      </w:tabs>
      <w:ind w:left="4320"/>
    </w:pPr>
    <w:rPr>
      <w:sz w:val="24"/>
      <w:szCs w:val="24"/>
    </w:rPr>
  </w:style>
  <w:style w:type="character" w:customStyle="1" w:styleId="BodyTextIndent3Char">
    <w:name w:val="Body Text Indent 3 Char"/>
    <w:basedOn w:val="DefaultParagraphFont"/>
    <w:link w:val="BodyTextIndent3"/>
    <w:uiPriority w:val="99"/>
    <w:semiHidden/>
    <w:rsid w:val="00C94EBD"/>
    <w:rPr>
      <w:sz w:val="16"/>
      <w:szCs w:val="16"/>
    </w:rPr>
  </w:style>
  <w:style w:type="paragraph" w:customStyle="1" w:styleId="1">
    <w:name w:val="1"/>
    <w:aliases w:val="2,3"/>
    <w:uiPriority w:val="99"/>
    <w:rsid w:val="00C94EBD"/>
    <w:pPr>
      <w:autoSpaceDE w:val="0"/>
      <w:autoSpaceDN w:val="0"/>
      <w:spacing w:after="0" w:line="240" w:lineRule="auto"/>
      <w:ind w:left="720"/>
    </w:pPr>
    <w:rPr>
      <w:rFonts w:ascii="CG Times" w:hAnsi="CG Times" w:cs="CG Times"/>
      <w:sz w:val="24"/>
      <w:szCs w:val="24"/>
    </w:rPr>
  </w:style>
  <w:style w:type="paragraph" w:styleId="Header">
    <w:name w:val="header"/>
    <w:basedOn w:val="Normal"/>
    <w:link w:val="HeaderChar"/>
    <w:uiPriority w:val="99"/>
    <w:rsid w:val="00C94EBD"/>
    <w:pPr>
      <w:tabs>
        <w:tab w:val="center" w:pos="4320"/>
        <w:tab w:val="right" w:pos="8640"/>
      </w:tabs>
    </w:pPr>
  </w:style>
  <w:style w:type="character" w:customStyle="1" w:styleId="HeaderChar">
    <w:name w:val="Header Char"/>
    <w:basedOn w:val="DefaultParagraphFont"/>
    <w:link w:val="Header"/>
    <w:uiPriority w:val="99"/>
    <w:semiHidden/>
    <w:rsid w:val="00C94EBD"/>
    <w:rPr>
      <w:sz w:val="20"/>
      <w:szCs w:val="20"/>
    </w:rPr>
  </w:style>
  <w:style w:type="paragraph" w:styleId="BalloonText">
    <w:name w:val="Balloon Text"/>
    <w:basedOn w:val="Normal"/>
    <w:link w:val="BalloonTextChar"/>
    <w:uiPriority w:val="99"/>
    <w:semiHidden/>
    <w:rsid w:val="00C94EBD"/>
    <w:rPr>
      <w:rFonts w:ascii="Tahoma" w:hAnsi="Tahoma" w:cs="Tahoma"/>
      <w:sz w:val="16"/>
      <w:szCs w:val="16"/>
    </w:rPr>
  </w:style>
  <w:style w:type="character" w:customStyle="1" w:styleId="BalloonTextChar">
    <w:name w:val="Balloon Text Char"/>
    <w:basedOn w:val="DefaultParagraphFont"/>
    <w:link w:val="BalloonText"/>
    <w:uiPriority w:val="99"/>
    <w:semiHidden/>
    <w:rsid w:val="00C94EBD"/>
    <w:rPr>
      <w:rFonts w:ascii="Tahoma" w:hAnsi="Tahoma" w:cs="Tahoma"/>
      <w:sz w:val="16"/>
      <w:szCs w:val="16"/>
    </w:rPr>
  </w:style>
  <w:style w:type="paragraph" w:styleId="CommentText">
    <w:name w:val="annotation text"/>
    <w:basedOn w:val="Normal"/>
    <w:link w:val="CommentTextChar"/>
    <w:semiHidden/>
    <w:rsid w:val="00C94EBD"/>
    <w:pPr>
      <w:widowControl w:val="0"/>
    </w:pPr>
  </w:style>
  <w:style w:type="character" w:customStyle="1" w:styleId="CommentTextChar">
    <w:name w:val="Comment Text Char"/>
    <w:basedOn w:val="DefaultParagraphFont"/>
    <w:link w:val="CommentText"/>
    <w:semiHidden/>
    <w:rsid w:val="00C94EBD"/>
    <w:rPr>
      <w:sz w:val="20"/>
      <w:szCs w:val="20"/>
    </w:rPr>
  </w:style>
  <w:style w:type="paragraph" w:customStyle="1" w:styleId="Preformatted">
    <w:name w:val="Preformatted"/>
    <w:basedOn w:val="Normal"/>
    <w:rsid w:val="00C94EBD"/>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pPr>
    <w:rPr>
      <w:rFonts w:ascii="Courier New" w:hAnsi="Courier New"/>
      <w:snapToGrid w:val="0"/>
    </w:rPr>
  </w:style>
  <w:style w:type="paragraph" w:styleId="BodyTextIndent">
    <w:name w:val="Body Text Indent"/>
    <w:basedOn w:val="Normal"/>
    <w:link w:val="BodyTextIndentChar"/>
    <w:uiPriority w:val="99"/>
    <w:unhideWhenUsed/>
    <w:rsid w:val="00C94EBD"/>
    <w:pPr>
      <w:spacing w:after="120"/>
      <w:ind w:left="360"/>
    </w:pPr>
  </w:style>
  <w:style w:type="character" w:customStyle="1" w:styleId="BodyTextIndentChar">
    <w:name w:val="Body Text Indent Char"/>
    <w:basedOn w:val="DefaultParagraphFont"/>
    <w:link w:val="BodyTextIndent"/>
    <w:uiPriority w:val="99"/>
    <w:rsid w:val="00C94EBD"/>
    <w:rPr>
      <w:sz w:val="20"/>
      <w:szCs w:val="20"/>
    </w:rPr>
  </w:style>
  <w:style w:type="paragraph" w:customStyle="1" w:styleId="Other">
    <w:name w:val="Other"/>
    <w:basedOn w:val="BodyText"/>
    <w:rsid w:val="00C94EBD"/>
    <w:pPr>
      <w:widowControl/>
      <w:numPr>
        <w:ilvl w:val="1"/>
        <w:numId w:val="3"/>
      </w:numPr>
      <w:spacing w:after="240"/>
      <w:jc w:val="both"/>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2F0546-29F0-41E0-A9B9-17FF7264F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1</Pages>
  <Words>2596</Words>
  <Characters>14803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Tempo Field</vt:lpstr>
    </vt:vector>
  </TitlesOfParts>
  <Company>Office of Pollution Control</Company>
  <LinksUpToDate>false</LinksUpToDate>
  <CharactersWithSpaces>17365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Tempo Field</dc:title>
  <dc:creator>Bruce Ferguson</dc:creator>
  <cp:lastModifiedBy>DEANNA RUSH</cp:lastModifiedBy>
  <cp:revision>6</cp:revision>
  <cp:lastPrinted>2015-01-20T13:35:00Z</cp:lastPrinted>
  <dcterms:created xsi:type="dcterms:W3CDTF">2015-01-06T15:27:00Z</dcterms:created>
  <dcterms:modified xsi:type="dcterms:W3CDTF">2015-01-20T13:35:00Z</dcterms:modified>
</cp:coreProperties>
</file>