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0D" w:rsidRDefault="004F1F0D">
      <w:pPr>
        <w:pStyle w:val="Title"/>
        <w:rPr>
          <w:sz w:val="28"/>
          <w:szCs w:val="28"/>
          <w:u w:val="single"/>
        </w:rPr>
      </w:pPr>
      <w:r>
        <w:rPr>
          <w:sz w:val="28"/>
          <w:szCs w:val="28"/>
          <w:u w:val="single"/>
        </w:rPr>
        <w:t>PERMIT REVIEW SUMMARY</w:t>
      </w:r>
    </w:p>
    <w:p w:rsidR="004F1F0D" w:rsidRDefault="004F1F0D">
      <w:pPr>
        <w:pStyle w:val="Title"/>
        <w:jc w:val="both"/>
      </w:pPr>
    </w:p>
    <w:p w:rsidR="004F1F0D" w:rsidRDefault="004F1F0D" w:rsidP="00233312">
      <w:pPr>
        <w:pStyle w:val="Title"/>
        <w:jc w:val="both"/>
      </w:pPr>
      <w:r>
        <w:t>Permit Writer:</w:t>
      </w:r>
      <w:r>
        <w:tab/>
      </w:r>
      <w:r>
        <w:rPr>
          <w:b w:val="0"/>
          <w:bCs w:val="0"/>
        </w:rPr>
        <w:t xml:space="preserve">Philip Morris </w:t>
      </w:r>
      <w:r>
        <w:rPr>
          <w:b w:val="0"/>
          <w:bCs w:val="0"/>
        </w:rPr>
        <w:tab/>
      </w:r>
      <w:r>
        <w:rPr>
          <w:b w:val="0"/>
          <w:bCs w:val="0"/>
        </w:rPr>
        <w:tab/>
      </w:r>
      <w:r>
        <w:rPr>
          <w:b w:val="0"/>
          <w:bCs w:val="0"/>
        </w:rPr>
        <w:tab/>
      </w:r>
      <w:r>
        <w:t>Date:</w:t>
      </w:r>
      <w:r>
        <w:rPr>
          <w:b w:val="0"/>
          <w:bCs w:val="0"/>
        </w:rPr>
        <w:tab/>
      </w:r>
      <w:r w:rsidR="00711A1C">
        <w:rPr>
          <w:b w:val="0"/>
          <w:bCs w:val="0"/>
        </w:rPr>
        <w:t>July 6</w:t>
      </w:r>
      <w:r>
        <w:rPr>
          <w:b w:val="0"/>
          <w:bCs w:val="0"/>
        </w:rPr>
        <w:t>, 2016</w:t>
      </w:r>
    </w:p>
    <w:p w:rsidR="004F1F0D" w:rsidRDefault="004F1F0D">
      <w:pPr>
        <w:pStyle w:val="Title"/>
        <w:jc w:val="both"/>
      </w:pPr>
    </w:p>
    <w:p w:rsidR="004F1F0D" w:rsidRDefault="004F1F0D">
      <w:pPr>
        <w:pStyle w:val="Title"/>
        <w:jc w:val="both"/>
      </w:pPr>
      <w:r>
        <w:t>Company Name:</w:t>
      </w:r>
      <w:r>
        <w:tab/>
      </w:r>
      <w:r>
        <w:rPr>
          <w:b w:val="0"/>
          <w:bCs w:val="0"/>
        </w:rPr>
        <w:t>CF Industries Nitrogen LL</w:t>
      </w:r>
      <w:bookmarkStart w:id="0" w:name="_GoBack"/>
      <w:bookmarkEnd w:id="0"/>
      <w:r>
        <w:rPr>
          <w:b w:val="0"/>
          <w:bCs w:val="0"/>
        </w:rPr>
        <w:t>C</w:t>
      </w:r>
    </w:p>
    <w:p w:rsidR="004F1F0D" w:rsidRDefault="004F1F0D">
      <w:pPr>
        <w:pStyle w:val="Title"/>
        <w:jc w:val="both"/>
      </w:pPr>
    </w:p>
    <w:p w:rsidR="004F1F0D" w:rsidRDefault="004F1F0D">
      <w:pPr>
        <w:pStyle w:val="Title"/>
        <w:jc w:val="both"/>
        <w:rPr>
          <w:b w:val="0"/>
          <w:bCs w:val="0"/>
        </w:rPr>
      </w:pPr>
      <w:r>
        <w:t>Facility Location:</w:t>
      </w:r>
      <w:r>
        <w:tab/>
      </w:r>
      <w:r>
        <w:rPr>
          <w:b w:val="0"/>
          <w:bCs w:val="0"/>
        </w:rPr>
        <w:t>46</w:t>
      </w:r>
      <w:r w:rsidR="00A26355">
        <w:rPr>
          <w:b w:val="0"/>
          <w:bCs w:val="0"/>
        </w:rPr>
        <w:t>12</w:t>
      </w:r>
      <w:r>
        <w:rPr>
          <w:b w:val="0"/>
          <w:bCs w:val="0"/>
        </w:rPr>
        <w:t xml:space="preserve"> Highway 49 East</w:t>
      </w:r>
    </w:p>
    <w:p w:rsidR="004F1F0D" w:rsidRDefault="004F1F0D">
      <w:pPr>
        <w:pStyle w:val="Title"/>
        <w:ind w:left="2160"/>
        <w:jc w:val="both"/>
        <w:rPr>
          <w:b w:val="0"/>
          <w:bCs w:val="0"/>
        </w:rPr>
      </w:pPr>
      <w:r>
        <w:rPr>
          <w:b w:val="0"/>
          <w:bCs w:val="0"/>
        </w:rPr>
        <w:t>Yazoo City, Mississippi</w:t>
      </w:r>
    </w:p>
    <w:p w:rsidR="004F1F0D" w:rsidRDefault="004F1F0D">
      <w:pPr>
        <w:pStyle w:val="Title"/>
        <w:jc w:val="both"/>
      </w:pPr>
    </w:p>
    <w:p w:rsidR="004F1F0D" w:rsidRDefault="004F1F0D">
      <w:pPr>
        <w:pStyle w:val="Title"/>
        <w:jc w:val="both"/>
      </w:pPr>
      <w:r>
        <w:t>Source Number:</w:t>
      </w:r>
      <w:r>
        <w:tab/>
      </w:r>
      <w:r>
        <w:rPr>
          <w:b w:val="0"/>
          <w:bCs w:val="0"/>
        </w:rPr>
        <w:t>3020-00010</w:t>
      </w:r>
    </w:p>
    <w:p w:rsidR="004F1F0D" w:rsidRDefault="004F1F0D">
      <w:pPr>
        <w:pStyle w:val="Title"/>
        <w:jc w:val="both"/>
      </w:pPr>
    </w:p>
    <w:p w:rsidR="004F1F0D" w:rsidRDefault="004F1F0D">
      <w:pPr>
        <w:pStyle w:val="Title"/>
        <w:jc w:val="both"/>
      </w:pPr>
      <w:r>
        <w:t xml:space="preserve">County: </w:t>
      </w:r>
      <w:r>
        <w:tab/>
      </w:r>
      <w:r>
        <w:tab/>
      </w:r>
      <w:r>
        <w:rPr>
          <w:b w:val="0"/>
          <w:bCs w:val="0"/>
        </w:rPr>
        <w:t>Yazoo</w:t>
      </w:r>
    </w:p>
    <w:p w:rsidR="004F1F0D" w:rsidRDefault="004F1F0D">
      <w:pPr>
        <w:pStyle w:val="Title"/>
        <w:jc w:val="both"/>
      </w:pPr>
    </w:p>
    <w:p w:rsidR="004F1F0D" w:rsidRDefault="004F1F0D">
      <w:pPr>
        <w:pStyle w:val="Title"/>
        <w:jc w:val="both"/>
        <w:rPr>
          <w:u w:val="single"/>
        </w:rPr>
      </w:pPr>
      <w:r>
        <w:rPr>
          <w:u w:val="single"/>
        </w:rPr>
        <w:t>FACILITY DESCRIPTION</w:t>
      </w:r>
    </w:p>
    <w:p w:rsidR="004F1F0D" w:rsidRDefault="004F1F0D">
      <w:pPr>
        <w:pStyle w:val="Title"/>
        <w:jc w:val="both"/>
        <w:rPr>
          <w:u w:val="single"/>
        </w:rPr>
      </w:pPr>
    </w:p>
    <w:p w:rsidR="004F1F0D" w:rsidRPr="004C3940" w:rsidRDefault="004F1F0D" w:rsidP="004C3940">
      <w:pPr>
        <w:pStyle w:val="Title"/>
        <w:jc w:val="both"/>
        <w:rPr>
          <w:b w:val="0"/>
          <w:bCs w:val="0"/>
        </w:rPr>
      </w:pPr>
      <w:r w:rsidRPr="004C3940">
        <w:rPr>
          <w:b w:val="0"/>
          <w:bCs w:val="0"/>
        </w:rPr>
        <w:t>CF Industries Nitrogen LLC (CF) owns and operates a nitrogen fertilizer manufacturing complex (</w:t>
      </w:r>
      <w:r w:rsidR="00E80FF3">
        <w:rPr>
          <w:b w:val="0"/>
          <w:bCs w:val="0"/>
        </w:rPr>
        <w:t xml:space="preserve">primary </w:t>
      </w:r>
      <w:r w:rsidRPr="004C3940">
        <w:rPr>
          <w:b w:val="0"/>
          <w:bCs w:val="0"/>
        </w:rPr>
        <w:t xml:space="preserve">SIC 2873) at 4612 Highway 49 East, Yazoo City, Yazoo County, Mississippi.  The complex is capable of producing Ammonia, Nitric Acid, Prilled Ammonium Nitrate, Ammonium Nitrate Solution, Urea, Urea-ammonium Nitrate Solution and Liquid Carbon Dioxide.  Raw materials used at CF are natural gas, air, ammonia and nitric acid.  The facility operates under Title V Permit No. 3020-00010, issued December 15, 2006 (modified October 23, 2007 and January 20, 2009); re-issued November 13, 2013 (modified February 21, 2014 and June 23, 2014).  The facility is a Major Source under the Prevention of Significant Deterioration (PSD) regulations, and is regulated by PSD Permits issued January 11, 2006 (Low Density Ammonium Nitrate Modification) and September 21, 2004 (Low Density Ammonium Nitrate Modification and Calcium Nitrate/Ammonium Nitrate Project). </w:t>
      </w:r>
    </w:p>
    <w:p w:rsidR="004F1F0D" w:rsidRPr="004C3940" w:rsidRDefault="004F1F0D" w:rsidP="004C3940">
      <w:pPr>
        <w:pStyle w:val="Title"/>
        <w:jc w:val="both"/>
        <w:rPr>
          <w:b w:val="0"/>
          <w:bCs w:val="0"/>
        </w:rPr>
      </w:pPr>
    </w:p>
    <w:p w:rsidR="004F1F0D" w:rsidRDefault="004F1F0D" w:rsidP="004C3940">
      <w:pPr>
        <w:pStyle w:val="Title"/>
        <w:jc w:val="both"/>
        <w:rPr>
          <w:b w:val="0"/>
          <w:bCs w:val="0"/>
        </w:rPr>
      </w:pPr>
      <w:r w:rsidRPr="004C3940">
        <w:rPr>
          <w:b w:val="0"/>
          <w:bCs w:val="0"/>
        </w:rPr>
        <w:t>The currently permitted emissions sources at the facility include one ammonia plant, four nitric acid plants, one ammonium nitrate plant, one urea facility, one cogeneration facility (turbine/generator set with heat recovery steam generator), two auxiliary boilers, several reciprocating internal combustion engines (RICE), several cooling towers, and other miscellaneous process vents.  The turbine is subject to the New Source Performance Standards (NSPS), Subpart GG for stationary gas turbines.  The four nitric acid plants are subject to NSPS, Subpart G for nitric acid plants.  The RICE engines are subject to the National Emission Standards for Hazardous Air Pollutants (NESHAP), Subpart ZZZZ for stationary reciprocating internal combustion engines.  Some of these engines are also subject to NSPS, Subpart IIII or JJJJ for stationary internal combustion engines.  The Cogeneration Facility’s Coen burner is subject to NSPS, Subpart Dc for steam generating units.  In addition, facility air emission sources are subject to Mississippi air quality regulations and construction permits.</w:t>
      </w:r>
      <w:r w:rsidR="007F54B3">
        <w:rPr>
          <w:b w:val="0"/>
          <w:bCs w:val="0"/>
        </w:rPr>
        <w:t xml:space="preserve">  The Auxiliary Boilers No.1 and No.2, Kellogg Startup Heater and Primary Reformer are subject to the provisions of NESHAP, Subpart DDDDD.</w:t>
      </w:r>
    </w:p>
    <w:p w:rsidR="004F1F0D" w:rsidRDefault="004F1F0D">
      <w:pPr>
        <w:pStyle w:val="Title"/>
        <w:jc w:val="left"/>
        <w:rPr>
          <w:b w:val="0"/>
          <w:bCs w:val="0"/>
        </w:rPr>
      </w:pPr>
    </w:p>
    <w:p w:rsidR="004F1F0D" w:rsidRDefault="00B216A9" w:rsidP="004C3940">
      <w:pPr>
        <w:pStyle w:val="Title"/>
        <w:jc w:val="both"/>
        <w:rPr>
          <w:u w:val="single"/>
        </w:rPr>
      </w:pPr>
      <w:r>
        <w:rPr>
          <w:u w:val="single"/>
        </w:rPr>
        <w:br w:type="page"/>
      </w:r>
      <w:r w:rsidR="004F1F0D">
        <w:rPr>
          <w:u w:val="single"/>
        </w:rPr>
        <w:lastRenderedPageBreak/>
        <w:t>PERMIT ACTION DESCRIPTION</w:t>
      </w:r>
    </w:p>
    <w:p w:rsidR="004F1F0D" w:rsidRDefault="004F1F0D">
      <w:pPr>
        <w:pStyle w:val="Title"/>
        <w:jc w:val="left"/>
        <w:rPr>
          <w:b w:val="0"/>
          <w:bCs w:val="0"/>
        </w:rPr>
      </w:pPr>
    </w:p>
    <w:p w:rsidR="004F1F0D" w:rsidRDefault="004F1F0D">
      <w:pPr>
        <w:pStyle w:val="Title"/>
        <w:jc w:val="left"/>
        <w:rPr>
          <w:b w:val="0"/>
          <w:bCs w:val="0"/>
        </w:rPr>
      </w:pPr>
      <w:r>
        <w:rPr>
          <w:b w:val="0"/>
          <w:bCs w:val="0"/>
        </w:rPr>
        <w:t xml:space="preserve">CF has requested the following modifications of the air construction permit issued on September 27, 2012, for the 2012 Ammonia Plant Turnaround Projects.  </w:t>
      </w:r>
    </w:p>
    <w:p w:rsidR="004F1F0D" w:rsidRDefault="004F1F0D" w:rsidP="001C581F">
      <w:pPr>
        <w:pStyle w:val="Title"/>
        <w:numPr>
          <w:ilvl w:val="0"/>
          <w:numId w:val="11"/>
        </w:numPr>
        <w:tabs>
          <w:tab w:val="left" w:pos="360"/>
        </w:tabs>
        <w:jc w:val="left"/>
        <w:rPr>
          <w:b w:val="0"/>
          <w:bCs w:val="0"/>
        </w:rPr>
      </w:pPr>
      <w:r>
        <w:rPr>
          <w:b w:val="0"/>
          <w:bCs w:val="0"/>
        </w:rPr>
        <w:t xml:space="preserve">Correct emissions </w:t>
      </w:r>
      <w:proofErr w:type="gramStart"/>
      <w:r>
        <w:rPr>
          <w:b w:val="0"/>
          <w:bCs w:val="0"/>
        </w:rPr>
        <w:t>estimates</w:t>
      </w:r>
      <w:proofErr w:type="gramEnd"/>
      <w:r>
        <w:rPr>
          <w:b w:val="0"/>
          <w:bCs w:val="0"/>
        </w:rPr>
        <w:t xml:space="preserve"> to include the firing of </w:t>
      </w:r>
      <w:r w:rsidR="00BB43A6">
        <w:rPr>
          <w:b w:val="0"/>
          <w:bCs w:val="0"/>
        </w:rPr>
        <w:t>L</w:t>
      </w:r>
      <w:r>
        <w:rPr>
          <w:b w:val="0"/>
          <w:bCs w:val="0"/>
        </w:rPr>
        <w:t xml:space="preserve">ow </w:t>
      </w:r>
      <w:r w:rsidR="00BB43A6">
        <w:rPr>
          <w:b w:val="0"/>
          <w:bCs w:val="0"/>
        </w:rPr>
        <w:t>P</w:t>
      </w:r>
      <w:r>
        <w:rPr>
          <w:b w:val="0"/>
          <w:bCs w:val="0"/>
        </w:rPr>
        <w:t xml:space="preserve">ressure </w:t>
      </w:r>
      <w:r w:rsidR="00BB43A6">
        <w:rPr>
          <w:b w:val="0"/>
          <w:bCs w:val="0"/>
        </w:rPr>
        <w:t>P</w:t>
      </w:r>
      <w:r>
        <w:rPr>
          <w:b w:val="0"/>
          <w:bCs w:val="0"/>
        </w:rPr>
        <w:t>urge gas in the Primary Reformer (AD-005).</w:t>
      </w:r>
    </w:p>
    <w:p w:rsidR="004F1F0D" w:rsidRDefault="004F1F0D" w:rsidP="001C581F">
      <w:pPr>
        <w:pStyle w:val="Title"/>
        <w:numPr>
          <w:ilvl w:val="0"/>
          <w:numId w:val="11"/>
        </w:numPr>
        <w:tabs>
          <w:tab w:val="left" w:pos="360"/>
        </w:tabs>
        <w:jc w:val="left"/>
        <w:rPr>
          <w:b w:val="0"/>
          <w:bCs w:val="0"/>
        </w:rPr>
      </w:pPr>
      <w:r>
        <w:rPr>
          <w:b w:val="0"/>
          <w:bCs w:val="0"/>
        </w:rPr>
        <w:t xml:space="preserve">Remove the fuel firing limits on AD-005, which were established to avoid triggering PSD for NOx on the 2012 Ammonia Plant Turnaround Projects.  </w:t>
      </w:r>
    </w:p>
    <w:p w:rsidR="004F1F0D" w:rsidRDefault="004F1F0D" w:rsidP="001C581F">
      <w:pPr>
        <w:pStyle w:val="Title"/>
        <w:numPr>
          <w:ilvl w:val="0"/>
          <w:numId w:val="11"/>
        </w:numPr>
        <w:tabs>
          <w:tab w:val="left" w:pos="360"/>
        </w:tabs>
        <w:jc w:val="left"/>
        <w:rPr>
          <w:b w:val="0"/>
          <w:bCs w:val="0"/>
        </w:rPr>
      </w:pPr>
      <w:r>
        <w:rPr>
          <w:b w:val="0"/>
          <w:bCs w:val="0"/>
        </w:rPr>
        <w:t>Remove the limitation on Carbon Dioxide Equivalent (CO</w:t>
      </w:r>
      <w:r w:rsidRPr="008C2B93">
        <w:rPr>
          <w:b w:val="0"/>
          <w:bCs w:val="0"/>
          <w:sz w:val="22"/>
          <w:szCs w:val="22"/>
          <w:vertAlign w:val="subscript"/>
        </w:rPr>
        <w:t>2</w:t>
      </w:r>
      <w:r>
        <w:rPr>
          <w:b w:val="0"/>
          <w:bCs w:val="0"/>
        </w:rPr>
        <w:t xml:space="preserve">e) for the Carbon Dioxide Vent (AD-001), Primary Reformer (AD-005) and Urea Plant, which was established to avoid triggering PSD for Green House Gases (GHG) on the 2012 Ammonia Plant Turnaround Projects.  </w:t>
      </w:r>
    </w:p>
    <w:p w:rsidR="004F1F0D" w:rsidRDefault="004F1F0D" w:rsidP="001C581F">
      <w:pPr>
        <w:pStyle w:val="Title"/>
        <w:numPr>
          <w:ilvl w:val="0"/>
          <w:numId w:val="11"/>
        </w:numPr>
        <w:tabs>
          <w:tab w:val="left" w:pos="360"/>
        </w:tabs>
        <w:jc w:val="left"/>
        <w:rPr>
          <w:b w:val="0"/>
          <w:bCs w:val="0"/>
        </w:rPr>
      </w:pPr>
      <w:r>
        <w:rPr>
          <w:b w:val="0"/>
          <w:bCs w:val="0"/>
        </w:rPr>
        <w:t>Establish new emission and fuel firing limits on the Primary Reformer (AD-005) and establish a production limit on the Ammonia Plant.  The permit modification will also establish monitoring and recordkeeping requirements associated with the new limitations.</w:t>
      </w:r>
    </w:p>
    <w:p w:rsidR="004F1F0D" w:rsidRDefault="004F1F0D" w:rsidP="0044758F">
      <w:pPr>
        <w:pStyle w:val="Title"/>
        <w:tabs>
          <w:tab w:val="left" w:pos="360"/>
        </w:tabs>
        <w:jc w:val="left"/>
        <w:rPr>
          <w:b w:val="0"/>
          <w:bCs w:val="0"/>
        </w:rPr>
      </w:pPr>
    </w:p>
    <w:p w:rsidR="004F1F0D" w:rsidRDefault="004F1F0D" w:rsidP="0044758F">
      <w:pPr>
        <w:pStyle w:val="Title"/>
        <w:tabs>
          <w:tab w:val="left" w:pos="360"/>
        </w:tabs>
        <w:jc w:val="left"/>
        <w:rPr>
          <w:b w:val="0"/>
          <w:bCs w:val="0"/>
        </w:rPr>
      </w:pPr>
      <w:r>
        <w:rPr>
          <w:b w:val="0"/>
          <w:bCs w:val="0"/>
        </w:rPr>
        <w:t>The following paragraphs outline the basis for the above permit modifications.</w:t>
      </w:r>
    </w:p>
    <w:p w:rsidR="004F1F0D" w:rsidRDefault="004F1F0D" w:rsidP="0044758F">
      <w:pPr>
        <w:pStyle w:val="Title"/>
        <w:tabs>
          <w:tab w:val="left" w:pos="360"/>
        </w:tabs>
        <w:jc w:val="left"/>
        <w:rPr>
          <w:b w:val="0"/>
          <w:bCs w:val="0"/>
        </w:rPr>
      </w:pPr>
    </w:p>
    <w:p w:rsidR="004F1F0D" w:rsidRPr="00454FF3" w:rsidRDefault="004F1F0D" w:rsidP="0044758F">
      <w:pPr>
        <w:pStyle w:val="Title"/>
        <w:tabs>
          <w:tab w:val="left" w:pos="360"/>
        </w:tabs>
        <w:jc w:val="left"/>
        <w:rPr>
          <w:b w:val="0"/>
          <w:bCs w:val="0"/>
          <w:u w:val="single"/>
        </w:rPr>
      </w:pPr>
      <w:r w:rsidRPr="00454FF3">
        <w:rPr>
          <w:b w:val="0"/>
          <w:bCs w:val="0"/>
          <w:u w:val="single"/>
        </w:rPr>
        <w:t>Low Pressure Purge Gas Firing</w:t>
      </w:r>
    </w:p>
    <w:p w:rsidR="004F1F0D" w:rsidRDefault="004F1F0D" w:rsidP="0044758F">
      <w:pPr>
        <w:pStyle w:val="Title"/>
        <w:tabs>
          <w:tab w:val="left" w:pos="360"/>
        </w:tabs>
        <w:jc w:val="left"/>
        <w:rPr>
          <w:b w:val="0"/>
          <w:bCs w:val="0"/>
        </w:rPr>
      </w:pPr>
      <w:r>
        <w:rPr>
          <w:b w:val="0"/>
          <w:bCs w:val="0"/>
        </w:rPr>
        <w:t xml:space="preserve">CF has indicated that the purge gas flow used in the permit application for the </w:t>
      </w:r>
      <w:r w:rsidR="007F54B3">
        <w:rPr>
          <w:b w:val="0"/>
          <w:bCs w:val="0"/>
        </w:rPr>
        <w:t>2012 Ammonia Plant Turnaround Projects was in error.  B</w:t>
      </w:r>
      <w:r>
        <w:rPr>
          <w:b w:val="0"/>
          <w:bCs w:val="0"/>
        </w:rPr>
        <w:t xml:space="preserve">aseline </w:t>
      </w:r>
      <w:r w:rsidR="007F54B3">
        <w:rPr>
          <w:b w:val="0"/>
          <w:bCs w:val="0"/>
        </w:rPr>
        <w:t xml:space="preserve">emission calculations for the </w:t>
      </w:r>
      <w:r>
        <w:rPr>
          <w:b w:val="0"/>
          <w:bCs w:val="0"/>
        </w:rPr>
        <w:t xml:space="preserve">period, October 21, 2009 to October 20, 2011, included only the High Pressure Purge flow, instead of the sum of the High Pressure Purge and the Low Pressure Purge.  </w:t>
      </w:r>
      <w:r w:rsidR="00A26355">
        <w:rPr>
          <w:b w:val="0"/>
          <w:bCs w:val="0"/>
        </w:rPr>
        <w:t>Adding the Low Pressure Purge</w:t>
      </w:r>
      <w:r>
        <w:rPr>
          <w:b w:val="0"/>
          <w:bCs w:val="0"/>
        </w:rPr>
        <w:t xml:space="preserve"> increased the baseline total purge gas flow from 1,469.8 </w:t>
      </w:r>
      <w:proofErr w:type="spellStart"/>
      <w:r>
        <w:rPr>
          <w:b w:val="0"/>
          <w:bCs w:val="0"/>
        </w:rPr>
        <w:t>MMscf</w:t>
      </w:r>
      <w:proofErr w:type="spellEnd"/>
      <w:r>
        <w:rPr>
          <w:b w:val="0"/>
          <w:bCs w:val="0"/>
        </w:rPr>
        <w:t xml:space="preserve"> to 1,661.1 </w:t>
      </w:r>
      <w:proofErr w:type="spellStart"/>
      <w:r>
        <w:rPr>
          <w:b w:val="0"/>
          <w:bCs w:val="0"/>
        </w:rPr>
        <w:t>MMscf</w:t>
      </w:r>
      <w:proofErr w:type="spellEnd"/>
      <w:r>
        <w:rPr>
          <w:b w:val="0"/>
          <w:bCs w:val="0"/>
        </w:rPr>
        <w:t xml:space="preserve">.  This change resulted in approximately 30 tpy more calculated baseline NOx emissions, which also corresponds to a comparable increase in the potential emissions for the 2012 project.  The correction is reflected in the revised PSD applicability analysis in the Emission Summary </w:t>
      </w:r>
      <w:r w:rsidR="007F54B3">
        <w:rPr>
          <w:b w:val="0"/>
          <w:bCs w:val="0"/>
        </w:rPr>
        <w:t>section of this document</w:t>
      </w:r>
      <w:r>
        <w:rPr>
          <w:b w:val="0"/>
          <w:bCs w:val="0"/>
        </w:rPr>
        <w:t>.</w:t>
      </w:r>
    </w:p>
    <w:p w:rsidR="004F1F0D" w:rsidRDefault="004F1F0D" w:rsidP="0044758F">
      <w:pPr>
        <w:pStyle w:val="Title"/>
        <w:tabs>
          <w:tab w:val="left" w:pos="360"/>
        </w:tabs>
        <w:jc w:val="left"/>
        <w:rPr>
          <w:b w:val="0"/>
          <w:bCs w:val="0"/>
        </w:rPr>
      </w:pPr>
    </w:p>
    <w:p w:rsidR="004F1F0D" w:rsidRPr="00454FF3" w:rsidRDefault="004F1F0D" w:rsidP="0044758F">
      <w:pPr>
        <w:pStyle w:val="Title"/>
        <w:tabs>
          <w:tab w:val="left" w:pos="360"/>
        </w:tabs>
        <w:jc w:val="left"/>
        <w:rPr>
          <w:b w:val="0"/>
          <w:bCs w:val="0"/>
          <w:u w:val="single"/>
        </w:rPr>
      </w:pPr>
      <w:r w:rsidRPr="00454FF3">
        <w:rPr>
          <w:b w:val="0"/>
          <w:bCs w:val="0"/>
          <w:u w:val="single"/>
        </w:rPr>
        <w:t>NOx PSD Avoidance Limits</w:t>
      </w:r>
    </w:p>
    <w:p w:rsidR="00EA6311" w:rsidRDefault="00EA6311" w:rsidP="00EA6311">
      <w:pPr>
        <w:jc w:val="both"/>
      </w:pPr>
      <w:r w:rsidRPr="000B3953">
        <w:t xml:space="preserve">The </w:t>
      </w:r>
      <w:r>
        <w:t>2012 Ammonia Plant Turnaround Projects</w:t>
      </w:r>
      <w:r w:rsidRPr="000B3953">
        <w:t xml:space="preserve"> consist</w:t>
      </w:r>
      <w:r>
        <w:t>ed</w:t>
      </w:r>
      <w:r w:rsidRPr="000B3953">
        <w:t xml:space="preserve"> of a number of debottleneck, optimization and maintenance projects that </w:t>
      </w:r>
      <w:r>
        <w:t>were</w:t>
      </w:r>
      <w:r w:rsidRPr="000B3953">
        <w:t xml:space="preserve"> projected to increase ammonia plant production capacity by approximately 37 tons per day.  Said production capacity increase </w:t>
      </w:r>
      <w:r>
        <w:t>was projected to</w:t>
      </w:r>
      <w:r w:rsidRPr="000B3953">
        <w:t xml:space="preserve"> also increase potential emissions of criteria pollutants through increased fuel gas firing in the Primary Reformer.  The following list summarizes the projects that </w:t>
      </w:r>
      <w:r w:rsidR="00012D7E">
        <w:t>were</w:t>
      </w:r>
      <w:r w:rsidRPr="000B3953">
        <w:t xml:space="preserve"> implemented during the </w:t>
      </w:r>
      <w:r>
        <w:t>T</w:t>
      </w:r>
      <w:r w:rsidRPr="000B3953">
        <w:t>urnaround.</w:t>
      </w:r>
    </w:p>
    <w:p w:rsidR="00EA6311" w:rsidRDefault="00EA6311" w:rsidP="00EA6311"/>
    <w:p w:rsidR="00EA6311" w:rsidRDefault="00EA6311" w:rsidP="00EA6311">
      <w:pPr>
        <w:widowControl/>
        <w:numPr>
          <w:ilvl w:val="0"/>
          <w:numId w:val="12"/>
        </w:numPr>
        <w:autoSpaceDE/>
        <w:autoSpaceDN/>
      </w:pPr>
      <w:r>
        <w:t>Ammonia Converter Upgrade</w:t>
      </w:r>
    </w:p>
    <w:p w:rsidR="00EA6311" w:rsidRDefault="00EA6311" w:rsidP="00EA6311">
      <w:pPr>
        <w:widowControl/>
        <w:numPr>
          <w:ilvl w:val="0"/>
          <w:numId w:val="12"/>
        </w:numPr>
        <w:autoSpaceDE/>
        <w:autoSpaceDN/>
      </w:pPr>
      <w:r>
        <w:t>Primary Reformer Upgrade</w:t>
      </w:r>
    </w:p>
    <w:p w:rsidR="00EA6311" w:rsidRDefault="00EA6311" w:rsidP="00EA6311">
      <w:pPr>
        <w:widowControl/>
        <w:numPr>
          <w:ilvl w:val="0"/>
          <w:numId w:val="12"/>
        </w:numPr>
        <w:autoSpaceDE/>
        <w:autoSpaceDN/>
      </w:pPr>
      <w:r>
        <w:t>Cooling Tower Improvements</w:t>
      </w:r>
    </w:p>
    <w:p w:rsidR="00EA6311" w:rsidRDefault="00EA6311" w:rsidP="00EA6311">
      <w:pPr>
        <w:widowControl/>
        <w:numPr>
          <w:ilvl w:val="0"/>
          <w:numId w:val="12"/>
        </w:numPr>
        <w:autoSpaceDE/>
        <w:autoSpaceDN/>
      </w:pPr>
      <w:r>
        <w:t>Auxiliary Boiler Burner Retrofit</w:t>
      </w:r>
    </w:p>
    <w:p w:rsidR="00EA6311" w:rsidRDefault="00012D7E" w:rsidP="00EA6311">
      <w:pPr>
        <w:widowControl/>
        <w:numPr>
          <w:ilvl w:val="0"/>
          <w:numId w:val="12"/>
        </w:numPr>
        <w:autoSpaceDE/>
        <w:autoSpaceDN/>
      </w:pPr>
      <w:r>
        <w:t xml:space="preserve">Increased </w:t>
      </w:r>
      <w:r w:rsidR="00EA6311">
        <w:t>Steam Flow to 103JAT (Steam Turbine)</w:t>
      </w:r>
    </w:p>
    <w:p w:rsidR="00EA6311" w:rsidRDefault="00EA6311" w:rsidP="00EA6311">
      <w:pPr>
        <w:widowControl/>
        <w:numPr>
          <w:ilvl w:val="0"/>
          <w:numId w:val="12"/>
        </w:numPr>
        <w:autoSpaceDE/>
        <w:autoSpaceDN/>
      </w:pPr>
      <w:r>
        <w:t>Process Air Improvements</w:t>
      </w:r>
    </w:p>
    <w:p w:rsidR="00EA6311" w:rsidRDefault="00EA6311" w:rsidP="00EA6311">
      <w:pPr>
        <w:widowControl/>
        <w:numPr>
          <w:ilvl w:val="0"/>
          <w:numId w:val="12"/>
        </w:numPr>
        <w:autoSpaceDE/>
        <w:autoSpaceDN/>
      </w:pPr>
      <w:r>
        <w:t>Refrigeration Compressor Turbine Upgrade</w:t>
      </w:r>
    </w:p>
    <w:p w:rsidR="00EA6311" w:rsidRDefault="00012D7E" w:rsidP="00EA6311">
      <w:pPr>
        <w:widowControl/>
        <w:numPr>
          <w:ilvl w:val="0"/>
          <w:numId w:val="12"/>
        </w:numPr>
        <w:autoSpaceDE/>
        <w:autoSpaceDN/>
      </w:pPr>
      <w:r>
        <w:t xml:space="preserve">Replacement of </w:t>
      </w:r>
      <w:r w:rsidR="00EA6311">
        <w:t>Mixed Feed &amp; Process Air Preheat Coils</w:t>
      </w:r>
    </w:p>
    <w:p w:rsidR="00EA6311" w:rsidRDefault="00EA6311" w:rsidP="00EA6311">
      <w:pPr>
        <w:widowControl/>
        <w:numPr>
          <w:ilvl w:val="0"/>
          <w:numId w:val="12"/>
        </w:numPr>
        <w:autoSpaceDE/>
        <w:autoSpaceDN/>
      </w:pPr>
      <w:r>
        <w:t>Package Refrigeration System</w:t>
      </w:r>
      <w:r w:rsidR="00012D7E">
        <w:t xml:space="preserve"> for Atmospheric Ammonia Storage Tank</w:t>
      </w:r>
    </w:p>
    <w:p w:rsidR="00012D7E" w:rsidRDefault="00127F3F" w:rsidP="00EA6311">
      <w:pPr>
        <w:pStyle w:val="Title"/>
        <w:jc w:val="both"/>
        <w:rPr>
          <w:b w:val="0"/>
          <w:bCs w:val="0"/>
        </w:rPr>
      </w:pPr>
      <w:r>
        <w:rPr>
          <w:b w:val="0"/>
          <w:bCs w:val="0"/>
        </w:rPr>
        <w:br w:type="page"/>
      </w:r>
      <w:r w:rsidR="00012D7E">
        <w:rPr>
          <w:b w:val="0"/>
          <w:bCs w:val="0"/>
        </w:rPr>
        <w:lastRenderedPageBreak/>
        <w:t xml:space="preserve">To avoid a significant increase in NOx emissions associated with the </w:t>
      </w:r>
      <w:r w:rsidR="007F54B3">
        <w:rPr>
          <w:b w:val="0"/>
          <w:bCs w:val="0"/>
        </w:rPr>
        <w:t>2012 Ammonia Plant Turnaround Projects</w:t>
      </w:r>
      <w:r w:rsidR="00012D7E">
        <w:rPr>
          <w:b w:val="0"/>
          <w:bCs w:val="0"/>
        </w:rPr>
        <w:t xml:space="preserve">, CF requested </w:t>
      </w:r>
      <w:r>
        <w:rPr>
          <w:b w:val="0"/>
          <w:bCs w:val="0"/>
        </w:rPr>
        <w:t>the</w:t>
      </w:r>
      <w:r w:rsidR="00012D7E">
        <w:rPr>
          <w:b w:val="0"/>
          <w:bCs w:val="0"/>
        </w:rPr>
        <w:t xml:space="preserve"> </w:t>
      </w:r>
      <w:r>
        <w:rPr>
          <w:b w:val="0"/>
          <w:bCs w:val="0"/>
        </w:rPr>
        <w:t xml:space="preserve">following </w:t>
      </w:r>
      <w:r w:rsidR="00012D7E">
        <w:rPr>
          <w:b w:val="0"/>
          <w:bCs w:val="0"/>
        </w:rPr>
        <w:t xml:space="preserve">fuel firing limits on the Primary Reformer </w:t>
      </w:r>
      <w:r>
        <w:rPr>
          <w:b w:val="0"/>
          <w:bCs w:val="0"/>
        </w:rPr>
        <w:t>(AD-005).</w:t>
      </w:r>
    </w:p>
    <w:p w:rsidR="00012D7E" w:rsidRDefault="00012D7E" w:rsidP="00EA6311">
      <w:pPr>
        <w:pStyle w:val="Title"/>
        <w:jc w:val="both"/>
        <w:rPr>
          <w:b w:val="0"/>
          <w:bCs w:val="0"/>
        </w:rPr>
      </w:pPr>
    </w:p>
    <w:p w:rsidR="00012D7E" w:rsidRDefault="00012D7E" w:rsidP="00012D7E">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270"/>
      </w:pPr>
      <w:r w:rsidRPr="008F39B1">
        <w:t xml:space="preserve">Primary and </w:t>
      </w:r>
      <w:r>
        <w:t>Tunnel</w:t>
      </w:r>
      <w:r w:rsidRPr="008F39B1">
        <w:t xml:space="preserve"> Burners</w:t>
      </w:r>
    </w:p>
    <w:p w:rsidR="00012D7E" w:rsidRDefault="00012D7E" w:rsidP="00012D7E">
      <w:pPr>
        <w:widowControl/>
        <w:numPr>
          <w:ilvl w:val="0"/>
          <w:numId w:val="13"/>
        </w:num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70"/>
      </w:pPr>
      <w:r>
        <w:t>Natural Gas Firing</w:t>
      </w:r>
      <w:r>
        <w:tab/>
      </w:r>
      <w:r>
        <w:tab/>
      </w:r>
      <w:r>
        <w:tab/>
      </w:r>
      <w:r>
        <w:tab/>
      </w:r>
      <w:r>
        <w:tab/>
      </w:r>
      <w:r>
        <w:tab/>
        <w:t>5,885,444</w:t>
      </w:r>
      <w:r w:rsidRPr="008F39B1">
        <w:t xml:space="preserve"> MM</w:t>
      </w:r>
      <w:r>
        <w:t>Btu</w:t>
      </w:r>
      <w:r w:rsidRPr="008F39B1">
        <w:t>/year</w:t>
      </w:r>
    </w:p>
    <w:p w:rsidR="00012D7E" w:rsidRPr="008F39B1" w:rsidRDefault="00012D7E" w:rsidP="00012D7E">
      <w:pPr>
        <w:widowControl/>
        <w:numPr>
          <w:ilvl w:val="0"/>
          <w:numId w:val="13"/>
        </w:num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right="-270"/>
      </w:pPr>
      <w:r>
        <w:t>Purge Gas Firing</w:t>
      </w:r>
      <w:r w:rsidRPr="008F39B1">
        <w:tab/>
      </w:r>
      <w:r w:rsidRPr="008F39B1">
        <w:tab/>
      </w:r>
      <w:r w:rsidRPr="008F39B1">
        <w:tab/>
      </w:r>
      <w:r w:rsidRPr="008F39B1">
        <w:tab/>
      </w:r>
      <w:r w:rsidRPr="008F39B1">
        <w:tab/>
        <w:t xml:space="preserve">   </w:t>
      </w:r>
      <w:r>
        <w:tab/>
        <w:t xml:space="preserve">   483,490</w:t>
      </w:r>
      <w:r w:rsidRPr="008F39B1">
        <w:t xml:space="preserve"> MM</w:t>
      </w:r>
      <w:r>
        <w:t>Btu</w:t>
      </w:r>
      <w:r w:rsidRPr="008F39B1">
        <w:t>/year</w:t>
      </w:r>
    </w:p>
    <w:p w:rsidR="00012D7E" w:rsidRPr="008F39B1" w:rsidRDefault="00012D7E" w:rsidP="00012D7E">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270"/>
      </w:pPr>
    </w:p>
    <w:p w:rsidR="00012D7E" w:rsidRPr="008F39B1" w:rsidRDefault="00012D7E" w:rsidP="00012D7E">
      <w:pPr>
        <w:tabs>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270"/>
      </w:pPr>
      <w:r w:rsidRPr="008F39B1">
        <w:t>Auxiliary Boiler</w:t>
      </w:r>
      <w:r>
        <w:t xml:space="preserve"> and Superheat Burners</w:t>
      </w:r>
      <w:r w:rsidRPr="008F39B1">
        <w:tab/>
      </w:r>
      <w:r>
        <w:t>(natural gas)</w:t>
      </w:r>
      <w:r w:rsidRPr="008F39B1">
        <w:tab/>
        <w:t xml:space="preserve">   </w:t>
      </w:r>
      <w:r>
        <w:tab/>
        <w:t xml:space="preserve">   919,324</w:t>
      </w:r>
      <w:r w:rsidRPr="008F39B1">
        <w:t xml:space="preserve"> MM</w:t>
      </w:r>
      <w:r>
        <w:t>Btu</w:t>
      </w:r>
      <w:r w:rsidRPr="008F39B1">
        <w:t>/year</w:t>
      </w:r>
    </w:p>
    <w:p w:rsidR="00012D7E" w:rsidRDefault="00012D7E" w:rsidP="00EA6311">
      <w:pPr>
        <w:pStyle w:val="Title"/>
        <w:jc w:val="both"/>
        <w:rPr>
          <w:b w:val="0"/>
          <w:bCs w:val="0"/>
        </w:rPr>
      </w:pPr>
    </w:p>
    <w:p w:rsidR="004F1F0D" w:rsidRDefault="00F362CE" w:rsidP="0072268C">
      <w:pPr>
        <w:pStyle w:val="Title"/>
        <w:jc w:val="both"/>
        <w:rPr>
          <w:b w:val="0"/>
          <w:bCs w:val="0"/>
        </w:rPr>
      </w:pPr>
      <w:r>
        <w:rPr>
          <w:b w:val="0"/>
          <w:bCs w:val="0"/>
        </w:rPr>
        <w:t xml:space="preserve">CF has requested the removal of the above fuel firing limits through the application of NOx emission reductions realized </w:t>
      </w:r>
      <w:r w:rsidR="0072268C">
        <w:rPr>
          <w:b w:val="0"/>
          <w:bCs w:val="0"/>
        </w:rPr>
        <w:t>as a result of</w:t>
      </w:r>
      <w:r>
        <w:rPr>
          <w:b w:val="0"/>
          <w:bCs w:val="0"/>
        </w:rPr>
        <w:t xml:space="preserve"> the 2008 Reformer Ultra Low-NOx Burner Replacement Project.  </w:t>
      </w:r>
      <w:r w:rsidR="0072268C">
        <w:rPr>
          <w:b w:val="0"/>
          <w:bCs w:val="0"/>
        </w:rPr>
        <w:t xml:space="preserve">CF has requested to go through “netting” in accordance with PSD procedures, and use the emissions decrease from the 2008 Burner Project to offset the emissions increase from the </w:t>
      </w:r>
      <w:r w:rsidR="007F54B3">
        <w:rPr>
          <w:b w:val="0"/>
          <w:bCs w:val="0"/>
        </w:rPr>
        <w:t>2012 Ammonia Plant Turnaround Projects</w:t>
      </w:r>
      <w:r w:rsidR="0072268C">
        <w:rPr>
          <w:b w:val="0"/>
          <w:bCs w:val="0"/>
        </w:rPr>
        <w:t xml:space="preserve">.  The burners were installed in 2008 and construction was certified complete in 2012, which makes </w:t>
      </w:r>
      <w:r w:rsidR="00BB43A6">
        <w:rPr>
          <w:b w:val="0"/>
          <w:bCs w:val="0"/>
        </w:rPr>
        <w:t>the Burner Replacement Project</w:t>
      </w:r>
      <w:r w:rsidR="0072268C">
        <w:rPr>
          <w:b w:val="0"/>
          <w:bCs w:val="0"/>
        </w:rPr>
        <w:t xml:space="preserve"> “contemporaneous” with the 2012 </w:t>
      </w:r>
      <w:r w:rsidR="007F54B3">
        <w:rPr>
          <w:b w:val="0"/>
          <w:bCs w:val="0"/>
        </w:rPr>
        <w:t>Ammonia Plant Turnaround Projects</w:t>
      </w:r>
      <w:r w:rsidR="0072268C">
        <w:rPr>
          <w:b w:val="0"/>
          <w:bCs w:val="0"/>
        </w:rPr>
        <w:t xml:space="preserve">.  </w:t>
      </w:r>
      <w:r w:rsidR="00BB43A6">
        <w:rPr>
          <w:b w:val="0"/>
          <w:bCs w:val="0"/>
        </w:rPr>
        <w:t>From a PSD netting perspective, t</w:t>
      </w:r>
      <w:r w:rsidR="00A26355">
        <w:rPr>
          <w:b w:val="0"/>
          <w:bCs w:val="0"/>
        </w:rPr>
        <w:t xml:space="preserve">he burner replacement represents a creditable </w:t>
      </w:r>
      <w:r w:rsidR="00BB43A6">
        <w:rPr>
          <w:b w:val="0"/>
          <w:bCs w:val="0"/>
        </w:rPr>
        <w:t xml:space="preserve">emissions </w:t>
      </w:r>
      <w:r w:rsidR="00A26355">
        <w:rPr>
          <w:b w:val="0"/>
          <w:bCs w:val="0"/>
        </w:rPr>
        <w:t xml:space="preserve">decrease in that it was accomplished through a physical change, which occurred during the contemporaneous period that was demonstrated through </w:t>
      </w:r>
      <w:r w:rsidR="00BB43A6">
        <w:rPr>
          <w:b w:val="0"/>
          <w:bCs w:val="0"/>
        </w:rPr>
        <w:t xml:space="preserve">subsequent </w:t>
      </w:r>
      <w:r w:rsidR="00A26355">
        <w:rPr>
          <w:b w:val="0"/>
          <w:bCs w:val="0"/>
        </w:rPr>
        <w:t>stack testing and made federally enforceable through a significant modification of the facility’s Title V Operating Permit</w:t>
      </w:r>
      <w:r w:rsidR="007F54B3">
        <w:rPr>
          <w:b w:val="0"/>
          <w:bCs w:val="0"/>
        </w:rPr>
        <w:t xml:space="preserve"> in 2008</w:t>
      </w:r>
      <w:r w:rsidR="00A26355">
        <w:rPr>
          <w:b w:val="0"/>
          <w:bCs w:val="0"/>
        </w:rPr>
        <w:t xml:space="preserve">.  </w:t>
      </w:r>
      <w:r w:rsidR="0072268C">
        <w:rPr>
          <w:b w:val="0"/>
          <w:bCs w:val="0"/>
        </w:rPr>
        <w:t>The netting analysis is contained in the Emission Summary section below.</w:t>
      </w:r>
    </w:p>
    <w:p w:rsidR="00DB18CB" w:rsidRDefault="00DB18CB" w:rsidP="0072268C">
      <w:pPr>
        <w:pStyle w:val="Title"/>
        <w:jc w:val="both"/>
        <w:rPr>
          <w:b w:val="0"/>
          <w:bCs w:val="0"/>
        </w:rPr>
      </w:pPr>
    </w:p>
    <w:p w:rsidR="00DB18CB" w:rsidRDefault="00DB18CB" w:rsidP="00DB18CB">
      <w:pPr>
        <w:pStyle w:val="Title"/>
        <w:jc w:val="both"/>
        <w:rPr>
          <w:b w:val="0"/>
          <w:bCs w:val="0"/>
        </w:rPr>
      </w:pPr>
      <w:r w:rsidRPr="00DB18CB">
        <w:rPr>
          <w:b w:val="0"/>
          <w:bCs w:val="0"/>
        </w:rPr>
        <w:t xml:space="preserve">It should be noted that the </w:t>
      </w:r>
      <w:smartTag w:uri="urn:schemas-microsoft-com:office:smarttags" w:element="stockticker">
        <w:r w:rsidRPr="00DB18CB">
          <w:rPr>
            <w:b w:val="0"/>
            <w:bCs w:val="0"/>
          </w:rPr>
          <w:t>PSD</w:t>
        </w:r>
      </w:smartTag>
      <w:r w:rsidRPr="00DB18CB">
        <w:rPr>
          <w:b w:val="0"/>
          <w:bCs w:val="0"/>
        </w:rPr>
        <w:t xml:space="preserve"> applicability evaluation for this project has been limited to emissions from the Ammonia Plant.  CF (formerly Terra) has represented that all of the increased ammonia production capacity associated with the </w:t>
      </w:r>
      <w:r w:rsidR="007F54B3">
        <w:rPr>
          <w:b w:val="0"/>
          <w:bCs w:val="0"/>
        </w:rPr>
        <w:t>2012 Ammonia Plant Turnaround Projects</w:t>
      </w:r>
      <w:r w:rsidR="00A26355">
        <w:rPr>
          <w:b w:val="0"/>
          <w:bCs w:val="0"/>
        </w:rPr>
        <w:t xml:space="preserve"> </w:t>
      </w:r>
      <w:r w:rsidRPr="00DB18CB">
        <w:rPr>
          <w:b w:val="0"/>
          <w:bCs w:val="0"/>
        </w:rPr>
        <w:t xml:space="preserve">will be consumed in the production of urea.  They have indicated that none of the additional capacity can be used to produce nitric acid since the Nitric Acid Plants are bottlenecked by the design capacity of the Nitric Acid Plant air compressors.  Attachment A of the Permit Review Summary for the 2012 Permit to Construct contains production data and compressor specification sheets, that </w:t>
      </w:r>
      <w:r w:rsidR="002D651E">
        <w:rPr>
          <w:b w:val="0"/>
          <w:bCs w:val="0"/>
        </w:rPr>
        <w:t>were</w:t>
      </w:r>
      <w:r w:rsidRPr="00DB18CB">
        <w:rPr>
          <w:b w:val="0"/>
          <w:bCs w:val="0"/>
        </w:rPr>
        <w:t xml:space="preserve"> provided to demonstrate that the units are operating at their rated design capacity.</w:t>
      </w:r>
    </w:p>
    <w:p w:rsidR="004F1F0D" w:rsidRDefault="004F1F0D" w:rsidP="0044758F">
      <w:pPr>
        <w:pStyle w:val="Title"/>
        <w:tabs>
          <w:tab w:val="left" w:pos="360"/>
        </w:tabs>
        <w:jc w:val="left"/>
        <w:rPr>
          <w:b w:val="0"/>
          <w:bCs w:val="0"/>
        </w:rPr>
      </w:pPr>
    </w:p>
    <w:p w:rsidR="004F1F0D" w:rsidRPr="00454FF3" w:rsidRDefault="004F1F0D" w:rsidP="0044758F">
      <w:pPr>
        <w:pStyle w:val="Title"/>
        <w:tabs>
          <w:tab w:val="left" w:pos="360"/>
        </w:tabs>
        <w:jc w:val="left"/>
        <w:rPr>
          <w:b w:val="0"/>
          <w:bCs w:val="0"/>
          <w:u w:val="single"/>
        </w:rPr>
      </w:pPr>
      <w:r w:rsidRPr="00454FF3">
        <w:rPr>
          <w:b w:val="0"/>
          <w:bCs w:val="0"/>
          <w:u w:val="single"/>
        </w:rPr>
        <w:t>GHG PSD Avoidance Limits</w:t>
      </w:r>
    </w:p>
    <w:p w:rsidR="004F1F0D" w:rsidRDefault="004F1F0D" w:rsidP="0044758F">
      <w:pPr>
        <w:pStyle w:val="Title"/>
        <w:tabs>
          <w:tab w:val="left" w:pos="360"/>
        </w:tabs>
        <w:jc w:val="left"/>
        <w:rPr>
          <w:b w:val="0"/>
          <w:bCs w:val="0"/>
        </w:rPr>
      </w:pPr>
      <w:r>
        <w:rPr>
          <w:b w:val="0"/>
          <w:bCs w:val="0"/>
        </w:rPr>
        <w:t xml:space="preserve">GHG emissions associated with the 2012 Ammonia Plant </w:t>
      </w:r>
      <w:r w:rsidR="007F54B3">
        <w:rPr>
          <w:b w:val="0"/>
          <w:bCs w:val="0"/>
        </w:rPr>
        <w:t xml:space="preserve">Turnaround </w:t>
      </w:r>
      <w:r>
        <w:rPr>
          <w:b w:val="0"/>
          <w:bCs w:val="0"/>
        </w:rPr>
        <w:t>Projects were above the significance threshold specified in Step 2 of EPA's Greenhouse Gas Tailoring Rule, so CF accepted a limit on CO</w:t>
      </w:r>
      <w:r w:rsidRPr="00A26355">
        <w:rPr>
          <w:b w:val="0"/>
          <w:bCs w:val="0"/>
          <w:vertAlign w:val="subscript"/>
        </w:rPr>
        <w:t>2</w:t>
      </w:r>
      <w:r>
        <w:rPr>
          <w:b w:val="0"/>
          <w:bCs w:val="0"/>
        </w:rPr>
        <w:t xml:space="preserve">e to avoid triggering PSD review.  In light of the recent vacature of Step 2 of EPA's Greenhouse Gas Tailoring Rule, CF has requested the GHG PSD </w:t>
      </w:r>
      <w:r w:rsidR="00A26355">
        <w:rPr>
          <w:b w:val="0"/>
          <w:bCs w:val="0"/>
        </w:rPr>
        <w:t>a</w:t>
      </w:r>
      <w:r>
        <w:rPr>
          <w:b w:val="0"/>
          <w:bCs w:val="0"/>
        </w:rPr>
        <w:t xml:space="preserve">voidance </w:t>
      </w:r>
      <w:r w:rsidR="00A26355">
        <w:rPr>
          <w:b w:val="0"/>
          <w:bCs w:val="0"/>
        </w:rPr>
        <w:t>l</w:t>
      </w:r>
      <w:r>
        <w:rPr>
          <w:b w:val="0"/>
          <w:bCs w:val="0"/>
        </w:rPr>
        <w:t>imit established in the 2012 permit be removed.</w:t>
      </w:r>
    </w:p>
    <w:p w:rsidR="004F1F0D" w:rsidRDefault="004F1F0D" w:rsidP="0044758F">
      <w:pPr>
        <w:pStyle w:val="Title"/>
        <w:tabs>
          <w:tab w:val="left" w:pos="360"/>
        </w:tabs>
        <w:jc w:val="left"/>
        <w:rPr>
          <w:b w:val="0"/>
          <w:bCs w:val="0"/>
        </w:rPr>
      </w:pPr>
    </w:p>
    <w:p w:rsidR="004F1F0D" w:rsidRDefault="004F1F0D" w:rsidP="00B22920">
      <w:pPr>
        <w:adjustRightInd w:val="0"/>
      </w:pPr>
      <w:r w:rsidRPr="00B22920">
        <w:rPr>
          <w:b/>
          <w:bCs/>
        </w:rPr>
        <w:t>Background:</w:t>
      </w:r>
      <w:r>
        <w:t xml:space="preserve"> Through the promulgation of Step 2 of the Greenhouse Gas Tailoring Rule on June 3, 2010, EPA established major source PSD and Title V permitting thresholds for</w:t>
      </w:r>
      <w:r w:rsidR="00EA6311">
        <w:t xml:space="preserve"> </w:t>
      </w:r>
      <w:r>
        <w:t xml:space="preserve">greenhouse gas (GHG) emissions, requiring sources to </w:t>
      </w:r>
      <w:r w:rsidR="00EA6311">
        <w:t xml:space="preserve">obtain a permit based solely on </w:t>
      </w:r>
      <w:r>
        <w:t>their potential to emit GHGs. Step 2 also established a PSD permitting significance level</w:t>
      </w:r>
      <w:r w:rsidR="00EA6311">
        <w:t xml:space="preserve"> </w:t>
      </w:r>
      <w:r>
        <w:t>threshold for GHG emissions for modifications at PSD major sources that result in an</w:t>
      </w:r>
      <w:r w:rsidR="00EA6311">
        <w:t xml:space="preserve"> </w:t>
      </w:r>
      <w:r>
        <w:t>increase in GHG emissions above the significance level, regardless of the effect on</w:t>
      </w:r>
      <w:r w:rsidR="00EA6311">
        <w:t xml:space="preserve"> </w:t>
      </w:r>
      <w:r>
        <w:t xml:space="preserve">emissions of other pollutants. </w:t>
      </w:r>
      <w:r w:rsidR="007F54B3">
        <w:t xml:space="preserve">On April 10, 2015, </w:t>
      </w:r>
      <w:r>
        <w:t xml:space="preserve">the U.S. Court of Appeals for the District of Columbia Circuit's (D.C. </w:t>
      </w:r>
      <w:r>
        <w:lastRenderedPageBreak/>
        <w:t>Circuit) vacat</w:t>
      </w:r>
      <w:r w:rsidR="007F54B3">
        <w:t>ed</w:t>
      </w:r>
      <w:r>
        <w:t xml:space="preserve"> Step 2 of the Greenhouse Gas</w:t>
      </w:r>
      <w:r w:rsidR="00BB43A6">
        <w:t xml:space="preserve"> Tailoring Rule</w:t>
      </w:r>
      <w:r w:rsidR="007F54B3">
        <w:t>.  Accordin</w:t>
      </w:r>
      <w:r w:rsidR="00711A1C">
        <w:t>g</w:t>
      </w:r>
      <w:r w:rsidR="007F54B3">
        <w:t>ly</w:t>
      </w:r>
      <w:r>
        <w:t xml:space="preserve">, sources will no longer be required to obtain a PSD or Title V permit solely on the basis of GHG emissions.  Mississippi approved </w:t>
      </w:r>
      <w:r w:rsidR="00EA6311">
        <w:t xml:space="preserve">a </w:t>
      </w:r>
      <w:r>
        <w:t>revision to its State Implementation Plan and to its “Regulations for the Prevention of Significant Deterioration of Air Quality”, 11 Miss. Admin. Code Pt. 2, Ch. 5, on April 28, 2016</w:t>
      </w:r>
      <w:r w:rsidR="00EA6311">
        <w:t xml:space="preserve"> to reflect the court ruling.</w:t>
      </w:r>
    </w:p>
    <w:p w:rsidR="004F1F0D" w:rsidRDefault="004F1F0D" w:rsidP="0044758F">
      <w:pPr>
        <w:pStyle w:val="Title"/>
        <w:tabs>
          <w:tab w:val="left" w:pos="360"/>
        </w:tabs>
        <w:jc w:val="left"/>
        <w:rPr>
          <w:b w:val="0"/>
          <w:bCs w:val="0"/>
        </w:rPr>
      </w:pPr>
    </w:p>
    <w:p w:rsidR="004F1F0D" w:rsidRPr="00454FF3" w:rsidRDefault="004F1F0D" w:rsidP="0044758F">
      <w:pPr>
        <w:pStyle w:val="Title"/>
        <w:tabs>
          <w:tab w:val="left" w:pos="360"/>
        </w:tabs>
        <w:jc w:val="left"/>
        <w:rPr>
          <w:b w:val="0"/>
          <w:bCs w:val="0"/>
          <w:u w:val="single"/>
        </w:rPr>
      </w:pPr>
      <w:r w:rsidRPr="00454FF3">
        <w:rPr>
          <w:b w:val="0"/>
          <w:bCs w:val="0"/>
          <w:u w:val="single"/>
        </w:rPr>
        <w:t>New Limitations, Monitoring and Recordkeeping Requirements</w:t>
      </w:r>
    </w:p>
    <w:p w:rsidR="003A22FE" w:rsidRDefault="00630A0C" w:rsidP="004C3940">
      <w:pPr>
        <w:spacing w:line="240" w:lineRule="atLeast"/>
        <w:rPr>
          <w:bCs/>
        </w:rPr>
      </w:pPr>
      <w:r>
        <w:rPr>
          <w:rFonts w:ascii="Tms Rmn" w:hAnsi="Tms Rmn" w:cs="Tms Rmn"/>
          <w:bCs/>
          <w:color w:val="000000"/>
        </w:rPr>
        <w:t xml:space="preserve">To ensure that the NOx reductions from the </w:t>
      </w:r>
      <w:r w:rsidRPr="00630A0C">
        <w:rPr>
          <w:bCs/>
        </w:rPr>
        <w:t>2008 Reformer Ultra Low-NOx Burner Replacement Project</w:t>
      </w:r>
      <w:r>
        <w:rPr>
          <w:bCs/>
        </w:rPr>
        <w:t xml:space="preserve"> are practically enforceable and creditable for netting, Primary Reformer (AD-005) NOx emissions are being limited to 173.31 lb/hr and to 759.10 tpy.  </w:t>
      </w:r>
      <w:r w:rsidR="007225DC">
        <w:rPr>
          <w:bCs/>
        </w:rPr>
        <w:t xml:space="preserve">These limits </w:t>
      </w:r>
      <w:r w:rsidR="001D350E">
        <w:rPr>
          <w:bCs/>
        </w:rPr>
        <w:t>reflect</w:t>
      </w:r>
      <w:r w:rsidR="007225DC">
        <w:rPr>
          <w:bCs/>
        </w:rPr>
        <w:t xml:space="preserve"> </w:t>
      </w:r>
      <w:r w:rsidR="00745E65">
        <w:rPr>
          <w:bCs/>
        </w:rPr>
        <w:t>the Reformer’s</w:t>
      </w:r>
      <w:r w:rsidR="007225DC">
        <w:rPr>
          <w:bCs/>
        </w:rPr>
        <w:t xml:space="preserve"> potential NOx emission rate based on the unit’s design heat input rate </w:t>
      </w:r>
      <w:r w:rsidR="0090007E">
        <w:rPr>
          <w:bCs/>
        </w:rPr>
        <w:t>and the emission factors for the ultra low-NOx</w:t>
      </w:r>
      <w:r w:rsidR="007F54B3">
        <w:rPr>
          <w:bCs/>
        </w:rPr>
        <w:t xml:space="preserve"> burners</w:t>
      </w:r>
      <w:r w:rsidR="007225DC">
        <w:rPr>
          <w:bCs/>
        </w:rPr>
        <w:t>, post-2008 replacement</w:t>
      </w:r>
      <w:r w:rsidR="007F54B3">
        <w:rPr>
          <w:bCs/>
        </w:rPr>
        <w:t xml:space="preserve"> project</w:t>
      </w:r>
      <w:r w:rsidR="007225DC">
        <w:rPr>
          <w:bCs/>
        </w:rPr>
        <w:t xml:space="preserve">. </w:t>
      </w:r>
      <w:r w:rsidR="0090007E">
        <w:rPr>
          <w:bCs/>
        </w:rPr>
        <w:t xml:space="preserve"> </w:t>
      </w:r>
    </w:p>
    <w:p w:rsidR="003A22FE" w:rsidRDefault="003A22FE" w:rsidP="004C3940">
      <w:pPr>
        <w:spacing w:line="240" w:lineRule="atLeast"/>
        <w:rPr>
          <w:bCs/>
        </w:rPr>
      </w:pPr>
    </w:p>
    <w:p w:rsidR="0090007E" w:rsidRPr="003A22FE" w:rsidRDefault="003A22FE" w:rsidP="004C3940">
      <w:pPr>
        <w:spacing w:line="240" w:lineRule="atLeast"/>
        <w:rPr>
          <w:bCs/>
          <w:i/>
          <w:sz w:val="18"/>
          <w:szCs w:val="18"/>
        </w:rPr>
      </w:pPr>
      <w:r w:rsidRPr="003A22FE">
        <w:rPr>
          <w:bCs/>
          <w:i/>
          <w:sz w:val="18"/>
          <w:szCs w:val="18"/>
        </w:rPr>
        <w:t>(</w:t>
      </w:r>
      <w:r w:rsidRPr="003A22FE">
        <w:rPr>
          <w:b/>
          <w:bCs/>
          <w:i/>
          <w:sz w:val="18"/>
          <w:szCs w:val="18"/>
        </w:rPr>
        <w:t>Note:</w:t>
      </w:r>
      <w:r w:rsidRPr="003A22FE">
        <w:rPr>
          <w:bCs/>
          <w:i/>
          <w:sz w:val="18"/>
          <w:szCs w:val="18"/>
        </w:rPr>
        <w:t xml:space="preserve"> T</w:t>
      </w:r>
      <w:r w:rsidR="0090007E" w:rsidRPr="003A22FE">
        <w:rPr>
          <w:bCs/>
          <w:i/>
          <w:sz w:val="18"/>
          <w:szCs w:val="18"/>
        </w:rPr>
        <w:t>he ultra low-N</w:t>
      </w:r>
      <w:r w:rsidR="00745E65" w:rsidRPr="003A22FE">
        <w:rPr>
          <w:bCs/>
          <w:i/>
          <w:sz w:val="18"/>
          <w:szCs w:val="18"/>
        </w:rPr>
        <w:t>O</w:t>
      </w:r>
      <w:r w:rsidR="0090007E" w:rsidRPr="003A22FE">
        <w:rPr>
          <w:bCs/>
          <w:i/>
          <w:sz w:val="18"/>
          <w:szCs w:val="18"/>
        </w:rPr>
        <w:t xml:space="preserve">x burners were only installed </w:t>
      </w:r>
      <w:r w:rsidR="00A26355">
        <w:rPr>
          <w:bCs/>
          <w:i/>
          <w:sz w:val="18"/>
          <w:szCs w:val="18"/>
        </w:rPr>
        <w:t>i</w:t>
      </w:r>
      <w:r w:rsidR="0090007E" w:rsidRPr="003A22FE">
        <w:rPr>
          <w:bCs/>
          <w:i/>
          <w:sz w:val="18"/>
          <w:szCs w:val="18"/>
        </w:rPr>
        <w:t xml:space="preserve">n the arch and tunnel sections of the Reformer.  </w:t>
      </w:r>
      <w:r w:rsidR="001B4F4B" w:rsidRPr="003A22FE">
        <w:rPr>
          <w:bCs/>
          <w:i/>
          <w:sz w:val="18"/>
          <w:szCs w:val="18"/>
        </w:rPr>
        <w:t>T</w:t>
      </w:r>
      <w:r w:rsidR="0090007E" w:rsidRPr="003A22FE">
        <w:rPr>
          <w:bCs/>
          <w:i/>
          <w:sz w:val="18"/>
          <w:szCs w:val="18"/>
        </w:rPr>
        <w:t xml:space="preserve">he </w:t>
      </w:r>
      <w:r w:rsidR="00745E65" w:rsidRPr="003A22FE">
        <w:rPr>
          <w:bCs/>
          <w:i/>
          <w:sz w:val="18"/>
          <w:szCs w:val="18"/>
        </w:rPr>
        <w:t>Auxiliary</w:t>
      </w:r>
      <w:r w:rsidR="0090007E" w:rsidRPr="003A22FE">
        <w:rPr>
          <w:bCs/>
          <w:i/>
          <w:sz w:val="18"/>
          <w:szCs w:val="18"/>
        </w:rPr>
        <w:t xml:space="preserve"> Boiler </w:t>
      </w:r>
      <w:r w:rsidR="001D350E" w:rsidRPr="003A22FE">
        <w:rPr>
          <w:bCs/>
          <w:i/>
          <w:sz w:val="18"/>
          <w:szCs w:val="18"/>
        </w:rPr>
        <w:t xml:space="preserve">and Superheat burners also </w:t>
      </w:r>
      <w:r w:rsidR="0090007E" w:rsidRPr="003A22FE">
        <w:rPr>
          <w:bCs/>
          <w:i/>
          <w:sz w:val="18"/>
          <w:szCs w:val="18"/>
        </w:rPr>
        <w:t xml:space="preserve">vent into the same stack and </w:t>
      </w:r>
      <w:r w:rsidR="001D350E" w:rsidRPr="003A22FE">
        <w:rPr>
          <w:bCs/>
          <w:i/>
          <w:sz w:val="18"/>
          <w:szCs w:val="18"/>
        </w:rPr>
        <w:t>are</w:t>
      </w:r>
      <w:r w:rsidR="0090007E" w:rsidRPr="003A22FE">
        <w:rPr>
          <w:bCs/>
          <w:i/>
          <w:sz w:val="18"/>
          <w:szCs w:val="18"/>
        </w:rPr>
        <w:t xml:space="preserve"> not equipped with low-NOx burners</w:t>
      </w:r>
      <w:r w:rsidR="001B4F4B" w:rsidRPr="003A22FE">
        <w:rPr>
          <w:bCs/>
          <w:i/>
          <w:sz w:val="18"/>
          <w:szCs w:val="18"/>
        </w:rPr>
        <w:t>.  Accordingly,</w:t>
      </w:r>
      <w:r w:rsidR="0090007E" w:rsidRPr="003A22FE">
        <w:rPr>
          <w:bCs/>
          <w:i/>
          <w:sz w:val="18"/>
          <w:szCs w:val="18"/>
        </w:rPr>
        <w:t xml:space="preserve"> it </w:t>
      </w:r>
      <w:r w:rsidRPr="003A22FE">
        <w:rPr>
          <w:bCs/>
          <w:i/>
          <w:sz w:val="18"/>
          <w:szCs w:val="18"/>
        </w:rPr>
        <w:t>wa</w:t>
      </w:r>
      <w:r w:rsidR="0090007E" w:rsidRPr="003A22FE">
        <w:rPr>
          <w:bCs/>
          <w:i/>
          <w:sz w:val="18"/>
          <w:szCs w:val="18"/>
        </w:rPr>
        <w:t xml:space="preserve">s not </w:t>
      </w:r>
      <w:r w:rsidR="00745E65" w:rsidRPr="003A22FE">
        <w:rPr>
          <w:bCs/>
          <w:i/>
          <w:sz w:val="18"/>
          <w:szCs w:val="18"/>
        </w:rPr>
        <w:t>practical</w:t>
      </w:r>
      <w:r w:rsidR="0090007E" w:rsidRPr="003A22FE">
        <w:rPr>
          <w:bCs/>
          <w:i/>
          <w:sz w:val="18"/>
          <w:szCs w:val="18"/>
        </w:rPr>
        <w:t xml:space="preserve"> to </w:t>
      </w:r>
      <w:r w:rsidR="00745E65" w:rsidRPr="003A22FE">
        <w:rPr>
          <w:bCs/>
          <w:i/>
          <w:sz w:val="18"/>
          <w:szCs w:val="18"/>
        </w:rPr>
        <w:t xml:space="preserve">establish a </w:t>
      </w:r>
      <w:r w:rsidRPr="003A22FE">
        <w:rPr>
          <w:bCs/>
          <w:i/>
          <w:sz w:val="18"/>
          <w:szCs w:val="18"/>
        </w:rPr>
        <w:t xml:space="preserve">lb/MMBtu </w:t>
      </w:r>
      <w:r w:rsidR="00745E65" w:rsidRPr="003A22FE">
        <w:rPr>
          <w:bCs/>
          <w:i/>
          <w:sz w:val="18"/>
          <w:szCs w:val="18"/>
        </w:rPr>
        <w:t>NOx emission limit</w:t>
      </w:r>
      <w:r w:rsidR="001B4F4B" w:rsidRPr="003A22FE">
        <w:rPr>
          <w:bCs/>
          <w:i/>
          <w:sz w:val="18"/>
          <w:szCs w:val="18"/>
        </w:rPr>
        <w:t xml:space="preserve"> to demonstrate compliance with </w:t>
      </w:r>
      <w:r w:rsidR="001D350E" w:rsidRPr="003A22FE">
        <w:rPr>
          <w:bCs/>
          <w:i/>
          <w:sz w:val="18"/>
          <w:szCs w:val="18"/>
        </w:rPr>
        <w:t>ultra low-NOx burner manufacturer</w:t>
      </w:r>
      <w:r w:rsidRPr="003A22FE">
        <w:rPr>
          <w:bCs/>
          <w:i/>
          <w:sz w:val="18"/>
          <w:szCs w:val="18"/>
        </w:rPr>
        <w:t>’s</w:t>
      </w:r>
      <w:r w:rsidR="001D350E" w:rsidRPr="003A22FE">
        <w:rPr>
          <w:bCs/>
          <w:i/>
          <w:sz w:val="18"/>
          <w:szCs w:val="18"/>
        </w:rPr>
        <w:t xml:space="preserve"> </w:t>
      </w:r>
      <w:r w:rsidRPr="003A22FE">
        <w:rPr>
          <w:bCs/>
          <w:i/>
          <w:sz w:val="18"/>
          <w:szCs w:val="18"/>
        </w:rPr>
        <w:t xml:space="preserve">mass per unit heat input </w:t>
      </w:r>
      <w:r w:rsidR="001D350E" w:rsidRPr="003A22FE">
        <w:rPr>
          <w:bCs/>
          <w:i/>
          <w:sz w:val="18"/>
          <w:szCs w:val="18"/>
        </w:rPr>
        <w:t>performance guarantee</w:t>
      </w:r>
      <w:r w:rsidR="00745E65" w:rsidRPr="003A22FE">
        <w:rPr>
          <w:bCs/>
          <w:i/>
          <w:sz w:val="18"/>
          <w:szCs w:val="18"/>
        </w:rPr>
        <w:t>.</w:t>
      </w:r>
      <w:r w:rsidRPr="003A22FE">
        <w:rPr>
          <w:bCs/>
          <w:i/>
          <w:sz w:val="18"/>
          <w:szCs w:val="18"/>
        </w:rPr>
        <w:t>)</w:t>
      </w:r>
    </w:p>
    <w:p w:rsidR="0090007E" w:rsidRDefault="0090007E" w:rsidP="004C3940">
      <w:pPr>
        <w:spacing w:line="240" w:lineRule="atLeast"/>
        <w:rPr>
          <w:bCs/>
        </w:rPr>
      </w:pPr>
    </w:p>
    <w:p w:rsidR="004F1F0D" w:rsidRDefault="00630A0C" w:rsidP="004C3940">
      <w:pPr>
        <w:spacing w:line="240" w:lineRule="atLeast"/>
        <w:rPr>
          <w:bCs/>
        </w:rPr>
      </w:pPr>
      <w:r>
        <w:rPr>
          <w:bCs/>
        </w:rPr>
        <w:t xml:space="preserve">Total heat input to the Reformer will be limited to 9,022,800 </w:t>
      </w:r>
      <w:r w:rsidR="00BB43A6">
        <w:rPr>
          <w:bCs/>
        </w:rPr>
        <w:t>MMBtu</w:t>
      </w:r>
      <w:r>
        <w:rPr>
          <w:bCs/>
        </w:rPr>
        <w:t xml:space="preserve">/yr, which corresponds to the unit’s </w:t>
      </w:r>
      <w:r w:rsidR="00A26355">
        <w:rPr>
          <w:bCs/>
        </w:rPr>
        <w:t xml:space="preserve">post-2008 burner replacement </w:t>
      </w:r>
      <w:r>
        <w:rPr>
          <w:bCs/>
        </w:rPr>
        <w:t xml:space="preserve">design heat input </w:t>
      </w:r>
      <w:r w:rsidR="00BB43A6">
        <w:rPr>
          <w:bCs/>
        </w:rPr>
        <w:t>capacity</w:t>
      </w:r>
      <w:r>
        <w:rPr>
          <w:bCs/>
        </w:rPr>
        <w:t xml:space="preserve"> and </w:t>
      </w:r>
      <w:r w:rsidR="00A9167C">
        <w:rPr>
          <w:bCs/>
        </w:rPr>
        <w:t>reflects</w:t>
      </w:r>
      <w:r>
        <w:rPr>
          <w:bCs/>
        </w:rPr>
        <w:t xml:space="preserve"> </w:t>
      </w:r>
      <w:r w:rsidR="00BB43A6">
        <w:rPr>
          <w:bCs/>
        </w:rPr>
        <w:t xml:space="preserve">the </w:t>
      </w:r>
      <w:r>
        <w:rPr>
          <w:bCs/>
        </w:rPr>
        <w:t>corrected purge gas firing rates.  Total ammonia plant production will also be limited to the post-2012</w:t>
      </w:r>
      <w:r w:rsidR="007F54B3">
        <w:rPr>
          <w:bCs/>
        </w:rPr>
        <w:t xml:space="preserve"> Ammonia Plant</w:t>
      </w:r>
      <w:r>
        <w:rPr>
          <w:bCs/>
        </w:rPr>
        <w:t xml:space="preserve"> Turnaround potential of 620,500 tons per year of ammonia.</w:t>
      </w:r>
    </w:p>
    <w:p w:rsidR="00DB18CB" w:rsidRDefault="00DB18CB" w:rsidP="004C3940">
      <w:pPr>
        <w:spacing w:line="240" w:lineRule="atLeast"/>
        <w:rPr>
          <w:bCs/>
        </w:rPr>
      </w:pPr>
    </w:p>
    <w:p w:rsidR="004F1F0D" w:rsidRPr="00630A0C" w:rsidRDefault="00630A0C" w:rsidP="004C3940">
      <w:pPr>
        <w:spacing w:line="240" w:lineRule="atLeast"/>
        <w:rPr>
          <w:rFonts w:ascii="Tms Rmn" w:hAnsi="Tms Rmn" w:cs="Tms Rmn"/>
          <w:i/>
          <w:iCs/>
          <w:color w:val="000000"/>
        </w:rPr>
      </w:pPr>
      <w:r>
        <w:rPr>
          <w:bCs/>
        </w:rPr>
        <w:t xml:space="preserve">Compliance with the Reformer NOx emission limits will be demonstrated by annual stack testing.  </w:t>
      </w:r>
      <w:r w:rsidR="00DB18CB">
        <w:rPr>
          <w:bCs/>
        </w:rPr>
        <w:t xml:space="preserve">CF shall maintain records of operating data and supporting calculations to demonstrate compliance with </w:t>
      </w:r>
      <w:r>
        <w:rPr>
          <w:bCs/>
        </w:rPr>
        <w:t>Reformer total heat input and ammonia plant production</w:t>
      </w:r>
      <w:r w:rsidR="00DB18CB">
        <w:rPr>
          <w:bCs/>
        </w:rPr>
        <w:t xml:space="preserve"> limits. </w:t>
      </w:r>
    </w:p>
    <w:p w:rsidR="004F1F0D" w:rsidRDefault="004F1F0D" w:rsidP="004C3940">
      <w:pPr>
        <w:spacing w:line="240" w:lineRule="atLeast"/>
        <w:rPr>
          <w:rFonts w:ascii="Tms Rmn" w:hAnsi="Tms Rmn" w:cs="Tms Rmn"/>
          <w:b/>
          <w:bCs/>
          <w:color w:val="000000"/>
          <w:u w:val="single"/>
        </w:rPr>
      </w:pPr>
    </w:p>
    <w:p w:rsidR="004F1F0D" w:rsidRDefault="004F1F0D" w:rsidP="004C3940">
      <w:pPr>
        <w:spacing w:line="240" w:lineRule="atLeast"/>
        <w:rPr>
          <w:rFonts w:ascii="Tms Rmn" w:hAnsi="Tms Rmn" w:cs="Tms Rmn"/>
          <w:b/>
          <w:bCs/>
          <w:color w:val="000000"/>
          <w:u w:val="single"/>
        </w:rPr>
      </w:pPr>
      <w:r>
        <w:rPr>
          <w:rFonts w:ascii="Tms Rmn" w:hAnsi="Tms Rmn" w:cs="Tms Rmn"/>
          <w:b/>
          <w:bCs/>
          <w:color w:val="000000"/>
          <w:u w:val="single"/>
        </w:rPr>
        <w:t>EMISSION SUMMARY</w:t>
      </w:r>
    </w:p>
    <w:p w:rsidR="004F1F0D" w:rsidRDefault="004F1F0D">
      <w:pPr>
        <w:pStyle w:val="Title"/>
        <w:jc w:val="left"/>
        <w:rPr>
          <w:b w:val="0"/>
          <w:bCs w:val="0"/>
        </w:rPr>
      </w:pPr>
    </w:p>
    <w:p w:rsidR="002D651E" w:rsidRDefault="002D651E" w:rsidP="002D651E">
      <w:pPr>
        <w:pStyle w:val="Title"/>
        <w:jc w:val="both"/>
        <w:rPr>
          <w:b w:val="0"/>
          <w:bCs w:val="0"/>
        </w:rPr>
      </w:pPr>
      <w:r>
        <w:rPr>
          <w:b w:val="0"/>
          <w:bCs w:val="0"/>
        </w:rPr>
        <w:t xml:space="preserve">A comparison between </w:t>
      </w:r>
      <w:r w:rsidR="00A26355">
        <w:rPr>
          <w:b w:val="0"/>
          <w:bCs w:val="0"/>
        </w:rPr>
        <w:t>b</w:t>
      </w:r>
      <w:r>
        <w:rPr>
          <w:b w:val="0"/>
          <w:bCs w:val="0"/>
        </w:rPr>
        <w:t xml:space="preserve">aseline </w:t>
      </w:r>
      <w:r w:rsidR="00A26355">
        <w:rPr>
          <w:b w:val="0"/>
          <w:bCs w:val="0"/>
        </w:rPr>
        <w:t>a</w:t>
      </w:r>
      <w:r>
        <w:rPr>
          <w:b w:val="0"/>
          <w:bCs w:val="0"/>
        </w:rPr>
        <w:t xml:space="preserve">ctual </w:t>
      </w:r>
      <w:r w:rsidR="00A26355">
        <w:rPr>
          <w:b w:val="0"/>
          <w:bCs w:val="0"/>
        </w:rPr>
        <w:t>e</w:t>
      </w:r>
      <w:r>
        <w:rPr>
          <w:b w:val="0"/>
          <w:bCs w:val="0"/>
        </w:rPr>
        <w:t xml:space="preserve">missions to post-project </w:t>
      </w:r>
      <w:r w:rsidR="00A26355">
        <w:rPr>
          <w:b w:val="0"/>
          <w:bCs w:val="0"/>
        </w:rPr>
        <w:t>p</w:t>
      </w:r>
      <w:r>
        <w:rPr>
          <w:b w:val="0"/>
          <w:bCs w:val="0"/>
        </w:rPr>
        <w:t xml:space="preserve">otential </w:t>
      </w:r>
      <w:r w:rsidR="00A26355">
        <w:rPr>
          <w:b w:val="0"/>
          <w:bCs w:val="0"/>
        </w:rPr>
        <w:t>e</w:t>
      </w:r>
      <w:r>
        <w:rPr>
          <w:b w:val="0"/>
          <w:bCs w:val="0"/>
        </w:rPr>
        <w:t xml:space="preserve">missions </w:t>
      </w:r>
      <w:r w:rsidR="00CD2191">
        <w:rPr>
          <w:b w:val="0"/>
          <w:bCs w:val="0"/>
        </w:rPr>
        <w:t xml:space="preserve">for the </w:t>
      </w:r>
      <w:r w:rsidR="007F54B3">
        <w:rPr>
          <w:b w:val="0"/>
          <w:bCs w:val="0"/>
        </w:rPr>
        <w:t>2012 Ammonia Plant Turnaround Projects</w:t>
      </w:r>
      <w:r w:rsidR="00CD2191">
        <w:rPr>
          <w:b w:val="0"/>
          <w:bCs w:val="0"/>
        </w:rPr>
        <w:t xml:space="preserve"> </w:t>
      </w:r>
      <w:r>
        <w:rPr>
          <w:b w:val="0"/>
          <w:bCs w:val="0"/>
        </w:rPr>
        <w:t>is summarized in the table that follows.</w:t>
      </w:r>
    </w:p>
    <w:p w:rsidR="002D651E" w:rsidRDefault="002D651E">
      <w:pPr>
        <w:pStyle w:val="Title"/>
        <w:jc w:val="left"/>
        <w:rPr>
          <w:b w:val="0"/>
          <w:bCs w:val="0"/>
        </w:rPr>
      </w:pPr>
    </w:p>
    <w:tbl>
      <w:tblPr>
        <w:tblStyle w:val="TableGrid"/>
        <w:tblW w:w="0" w:type="auto"/>
        <w:tblInd w:w="558" w:type="dxa"/>
        <w:tblLook w:val="01E0" w:firstRow="1" w:lastRow="1" w:firstColumn="1" w:lastColumn="1" w:noHBand="0" w:noVBand="0"/>
      </w:tblPr>
      <w:tblGrid>
        <w:gridCol w:w="1517"/>
        <w:gridCol w:w="1266"/>
        <w:gridCol w:w="1284"/>
        <w:gridCol w:w="1146"/>
        <w:gridCol w:w="1726"/>
        <w:gridCol w:w="1539"/>
      </w:tblGrid>
      <w:tr w:rsidR="006933BA" w:rsidTr="00475EFF">
        <w:tc>
          <w:tcPr>
            <w:tcW w:w="1517" w:type="dxa"/>
            <w:tcBorders>
              <w:top w:val="single" w:sz="12" w:space="0" w:color="auto"/>
              <w:left w:val="single" w:sz="12" w:space="0" w:color="auto"/>
              <w:bottom w:val="single" w:sz="12" w:space="0" w:color="auto"/>
            </w:tcBorders>
            <w:shd w:val="clear" w:color="auto" w:fill="E0E0E0"/>
            <w:vAlign w:val="bottom"/>
          </w:tcPr>
          <w:p w:rsidR="006933BA" w:rsidRPr="00C37D05" w:rsidRDefault="006933BA" w:rsidP="006F7287">
            <w:pPr>
              <w:pStyle w:val="Title"/>
              <w:rPr>
                <w:sz w:val="20"/>
                <w:szCs w:val="20"/>
              </w:rPr>
            </w:pPr>
            <w:r w:rsidRPr="00C37D05">
              <w:rPr>
                <w:sz w:val="20"/>
                <w:szCs w:val="20"/>
              </w:rPr>
              <w:t>Pollutant</w:t>
            </w:r>
          </w:p>
        </w:tc>
        <w:tc>
          <w:tcPr>
            <w:tcW w:w="1266" w:type="dxa"/>
            <w:tcBorders>
              <w:top w:val="single" w:sz="12" w:space="0" w:color="auto"/>
              <w:bottom w:val="single" w:sz="12" w:space="0" w:color="auto"/>
            </w:tcBorders>
            <w:shd w:val="clear" w:color="auto" w:fill="E0E0E0"/>
            <w:vAlign w:val="bottom"/>
          </w:tcPr>
          <w:p w:rsidR="006933BA" w:rsidRDefault="006933BA" w:rsidP="006F7287">
            <w:pPr>
              <w:pStyle w:val="Title"/>
              <w:rPr>
                <w:sz w:val="20"/>
                <w:szCs w:val="20"/>
              </w:rPr>
            </w:pPr>
            <w:r w:rsidRPr="00C37D05">
              <w:rPr>
                <w:sz w:val="20"/>
                <w:szCs w:val="20"/>
              </w:rPr>
              <w:t>Baseline</w:t>
            </w:r>
            <w:r>
              <w:rPr>
                <w:sz w:val="20"/>
                <w:szCs w:val="20"/>
              </w:rPr>
              <w:t xml:space="preserve"> Actual Emissions </w:t>
            </w:r>
          </w:p>
          <w:p w:rsidR="006933BA" w:rsidRPr="00C37D05" w:rsidRDefault="006933BA" w:rsidP="006F7287">
            <w:pPr>
              <w:pStyle w:val="Title"/>
              <w:rPr>
                <w:sz w:val="20"/>
                <w:szCs w:val="20"/>
              </w:rPr>
            </w:pPr>
            <w:r>
              <w:rPr>
                <w:sz w:val="20"/>
                <w:szCs w:val="20"/>
              </w:rPr>
              <w:t>(tons/yr)</w:t>
            </w:r>
            <w:r w:rsidR="00430BD1">
              <w:rPr>
                <w:sz w:val="20"/>
                <w:szCs w:val="20"/>
              </w:rPr>
              <w:t xml:space="preserve"> </w:t>
            </w:r>
            <w:r w:rsidR="00430BD1" w:rsidRPr="00430BD1">
              <w:rPr>
                <w:sz w:val="20"/>
                <w:szCs w:val="20"/>
                <w:vertAlign w:val="superscript"/>
              </w:rPr>
              <w:t>1</w:t>
            </w:r>
            <w:r w:rsidR="00430BD1">
              <w:rPr>
                <w:sz w:val="20"/>
                <w:szCs w:val="20"/>
                <w:vertAlign w:val="superscript"/>
              </w:rPr>
              <w:t>,2</w:t>
            </w:r>
          </w:p>
        </w:tc>
        <w:tc>
          <w:tcPr>
            <w:tcW w:w="1284" w:type="dxa"/>
            <w:tcBorders>
              <w:top w:val="single" w:sz="12" w:space="0" w:color="auto"/>
              <w:bottom w:val="single" w:sz="12" w:space="0" w:color="auto"/>
            </w:tcBorders>
            <w:shd w:val="clear" w:color="auto" w:fill="E0E0E0"/>
          </w:tcPr>
          <w:p w:rsidR="006933BA" w:rsidRDefault="006933BA" w:rsidP="006F7287">
            <w:pPr>
              <w:pStyle w:val="Title"/>
              <w:rPr>
                <w:sz w:val="20"/>
                <w:szCs w:val="20"/>
              </w:rPr>
            </w:pPr>
            <w:r>
              <w:rPr>
                <w:sz w:val="20"/>
                <w:szCs w:val="20"/>
              </w:rPr>
              <w:t>Post-2012 Turnaround Potential Emissions</w:t>
            </w:r>
          </w:p>
          <w:p w:rsidR="006933BA" w:rsidRPr="00C37D05" w:rsidRDefault="006933BA" w:rsidP="006F7287">
            <w:pPr>
              <w:pStyle w:val="Title"/>
              <w:rPr>
                <w:sz w:val="20"/>
                <w:szCs w:val="20"/>
              </w:rPr>
            </w:pPr>
            <w:r>
              <w:rPr>
                <w:sz w:val="20"/>
                <w:szCs w:val="20"/>
              </w:rPr>
              <w:t>(tons/yr)</w:t>
            </w:r>
          </w:p>
        </w:tc>
        <w:tc>
          <w:tcPr>
            <w:tcW w:w="1146" w:type="dxa"/>
            <w:tcBorders>
              <w:top w:val="single" w:sz="12" w:space="0" w:color="auto"/>
              <w:bottom w:val="single" w:sz="12" w:space="0" w:color="auto"/>
            </w:tcBorders>
            <w:shd w:val="clear" w:color="auto" w:fill="E0E0E0"/>
            <w:vAlign w:val="bottom"/>
          </w:tcPr>
          <w:p w:rsidR="006933BA" w:rsidRDefault="006362E3" w:rsidP="006F7287">
            <w:pPr>
              <w:pStyle w:val="Title"/>
              <w:rPr>
                <w:sz w:val="20"/>
                <w:szCs w:val="20"/>
              </w:rPr>
            </w:pPr>
            <w:r>
              <w:rPr>
                <w:sz w:val="20"/>
                <w:szCs w:val="20"/>
              </w:rPr>
              <w:t>Project Increase</w:t>
            </w:r>
          </w:p>
          <w:p w:rsidR="006933BA" w:rsidRPr="00C37D05" w:rsidRDefault="006933BA" w:rsidP="006F7287">
            <w:pPr>
              <w:pStyle w:val="Title"/>
              <w:rPr>
                <w:sz w:val="20"/>
                <w:szCs w:val="20"/>
              </w:rPr>
            </w:pPr>
            <w:r>
              <w:rPr>
                <w:sz w:val="20"/>
                <w:szCs w:val="20"/>
              </w:rPr>
              <w:t>(tons/yr)</w:t>
            </w:r>
          </w:p>
        </w:tc>
        <w:tc>
          <w:tcPr>
            <w:tcW w:w="1726" w:type="dxa"/>
            <w:tcBorders>
              <w:top w:val="single" w:sz="12" w:space="0" w:color="auto"/>
              <w:bottom w:val="single" w:sz="12" w:space="0" w:color="auto"/>
            </w:tcBorders>
            <w:shd w:val="clear" w:color="auto" w:fill="E0E0E0"/>
            <w:vAlign w:val="bottom"/>
          </w:tcPr>
          <w:p w:rsidR="006933BA" w:rsidRDefault="006933BA" w:rsidP="006F7287">
            <w:pPr>
              <w:pStyle w:val="Title"/>
              <w:rPr>
                <w:sz w:val="20"/>
                <w:szCs w:val="20"/>
              </w:rPr>
            </w:pPr>
            <w:smartTag w:uri="urn:schemas-microsoft-com:office:smarttags" w:element="stockticker">
              <w:r w:rsidRPr="00C37D05">
                <w:rPr>
                  <w:sz w:val="20"/>
                  <w:szCs w:val="20"/>
                </w:rPr>
                <w:t>PSD</w:t>
              </w:r>
            </w:smartTag>
            <w:r w:rsidRPr="00C37D05">
              <w:rPr>
                <w:sz w:val="20"/>
                <w:szCs w:val="20"/>
              </w:rPr>
              <w:t xml:space="preserve"> Significance Threshold</w:t>
            </w:r>
          </w:p>
          <w:p w:rsidR="006933BA" w:rsidRPr="00C37D05" w:rsidRDefault="006933BA" w:rsidP="006F7287">
            <w:pPr>
              <w:pStyle w:val="Title"/>
              <w:rPr>
                <w:sz w:val="20"/>
                <w:szCs w:val="20"/>
              </w:rPr>
            </w:pPr>
            <w:r>
              <w:rPr>
                <w:sz w:val="20"/>
                <w:szCs w:val="20"/>
              </w:rPr>
              <w:t>(tons/yr)</w:t>
            </w:r>
          </w:p>
        </w:tc>
        <w:tc>
          <w:tcPr>
            <w:tcW w:w="1539" w:type="dxa"/>
            <w:tcBorders>
              <w:top w:val="single" w:sz="12" w:space="0" w:color="auto"/>
              <w:bottom w:val="single" w:sz="12" w:space="0" w:color="auto"/>
              <w:right w:val="single" w:sz="12" w:space="0" w:color="auto"/>
            </w:tcBorders>
            <w:shd w:val="clear" w:color="auto" w:fill="E0E0E0"/>
            <w:vAlign w:val="bottom"/>
          </w:tcPr>
          <w:p w:rsidR="006933BA" w:rsidRPr="00C37D05" w:rsidRDefault="006933BA" w:rsidP="006F7287">
            <w:pPr>
              <w:pStyle w:val="Title"/>
              <w:rPr>
                <w:sz w:val="20"/>
                <w:szCs w:val="20"/>
              </w:rPr>
            </w:pPr>
            <w:r w:rsidRPr="00C37D05">
              <w:rPr>
                <w:sz w:val="20"/>
                <w:szCs w:val="20"/>
              </w:rPr>
              <w:t>Netting Triggered?</w:t>
            </w:r>
          </w:p>
        </w:tc>
      </w:tr>
      <w:tr w:rsidR="006933BA" w:rsidTr="00475EFF">
        <w:tc>
          <w:tcPr>
            <w:tcW w:w="1517" w:type="dxa"/>
            <w:tcBorders>
              <w:top w:val="single" w:sz="12" w:space="0" w:color="auto"/>
              <w:left w:val="single" w:sz="12" w:space="0" w:color="auto"/>
            </w:tcBorders>
          </w:tcPr>
          <w:p w:rsidR="006933BA" w:rsidRDefault="006933BA" w:rsidP="006F7287">
            <w:pPr>
              <w:pStyle w:val="Title"/>
              <w:jc w:val="both"/>
              <w:rPr>
                <w:b w:val="0"/>
                <w:bCs w:val="0"/>
              </w:rPr>
            </w:pPr>
            <w:r>
              <w:rPr>
                <w:b w:val="0"/>
                <w:bCs w:val="0"/>
              </w:rPr>
              <w:t>PM</w:t>
            </w:r>
          </w:p>
        </w:tc>
        <w:tc>
          <w:tcPr>
            <w:tcW w:w="1266" w:type="dxa"/>
            <w:tcBorders>
              <w:top w:val="single" w:sz="12" w:space="0" w:color="auto"/>
            </w:tcBorders>
          </w:tcPr>
          <w:p w:rsidR="006933BA" w:rsidRPr="00015E88" w:rsidRDefault="00110ECF" w:rsidP="006F7287">
            <w:pPr>
              <w:pStyle w:val="Title"/>
              <w:jc w:val="right"/>
              <w:rPr>
                <w:b w:val="0"/>
                <w:bCs w:val="0"/>
              </w:rPr>
            </w:pPr>
            <w:r>
              <w:rPr>
                <w:b w:val="0"/>
                <w:bCs w:val="0"/>
              </w:rPr>
              <w:t>17.05</w:t>
            </w:r>
          </w:p>
        </w:tc>
        <w:tc>
          <w:tcPr>
            <w:tcW w:w="1284" w:type="dxa"/>
            <w:tcBorders>
              <w:top w:val="single" w:sz="12" w:space="0" w:color="auto"/>
            </w:tcBorders>
          </w:tcPr>
          <w:p w:rsidR="006933BA" w:rsidRPr="00015E88" w:rsidRDefault="00110ECF" w:rsidP="006F7287">
            <w:pPr>
              <w:pStyle w:val="Title"/>
              <w:jc w:val="right"/>
              <w:rPr>
                <w:b w:val="0"/>
                <w:bCs w:val="0"/>
              </w:rPr>
            </w:pPr>
            <w:r>
              <w:rPr>
                <w:b w:val="0"/>
                <w:bCs w:val="0"/>
              </w:rPr>
              <w:t>23.98</w:t>
            </w:r>
          </w:p>
        </w:tc>
        <w:tc>
          <w:tcPr>
            <w:tcW w:w="1146" w:type="dxa"/>
            <w:tcBorders>
              <w:top w:val="single" w:sz="12" w:space="0" w:color="auto"/>
            </w:tcBorders>
          </w:tcPr>
          <w:p w:rsidR="006933BA" w:rsidRPr="00015E88" w:rsidRDefault="00110ECF" w:rsidP="006F7287">
            <w:pPr>
              <w:pStyle w:val="Title"/>
              <w:jc w:val="right"/>
              <w:rPr>
                <w:b w:val="0"/>
                <w:bCs w:val="0"/>
              </w:rPr>
            </w:pPr>
            <w:r>
              <w:rPr>
                <w:b w:val="0"/>
                <w:bCs w:val="0"/>
              </w:rPr>
              <w:t>6.93</w:t>
            </w:r>
          </w:p>
        </w:tc>
        <w:tc>
          <w:tcPr>
            <w:tcW w:w="1726" w:type="dxa"/>
            <w:tcBorders>
              <w:top w:val="single" w:sz="12" w:space="0" w:color="auto"/>
            </w:tcBorders>
          </w:tcPr>
          <w:p w:rsidR="006933BA" w:rsidRDefault="006933BA" w:rsidP="006F7287">
            <w:pPr>
              <w:pStyle w:val="Title"/>
              <w:rPr>
                <w:b w:val="0"/>
                <w:bCs w:val="0"/>
              </w:rPr>
            </w:pPr>
            <w:r>
              <w:rPr>
                <w:b w:val="0"/>
                <w:bCs w:val="0"/>
              </w:rPr>
              <w:t>25</w:t>
            </w:r>
          </w:p>
        </w:tc>
        <w:tc>
          <w:tcPr>
            <w:tcW w:w="1539" w:type="dxa"/>
            <w:tcBorders>
              <w:top w:val="single" w:sz="12" w:space="0" w:color="auto"/>
              <w:right w:val="single" w:sz="12" w:space="0" w:color="auto"/>
            </w:tcBorders>
          </w:tcPr>
          <w:p w:rsidR="006933BA" w:rsidRDefault="006933BA" w:rsidP="006F7287">
            <w:pPr>
              <w:pStyle w:val="Title"/>
              <w:rPr>
                <w:b w:val="0"/>
                <w:bCs w:val="0"/>
              </w:rPr>
            </w:pPr>
            <w:r>
              <w:rPr>
                <w:b w:val="0"/>
                <w:bCs w:val="0"/>
              </w:rPr>
              <w:t>No</w:t>
            </w:r>
          </w:p>
        </w:tc>
      </w:tr>
      <w:tr w:rsidR="006933BA" w:rsidTr="00475EFF">
        <w:tc>
          <w:tcPr>
            <w:tcW w:w="1517" w:type="dxa"/>
            <w:tcBorders>
              <w:left w:val="single" w:sz="12" w:space="0" w:color="auto"/>
            </w:tcBorders>
          </w:tcPr>
          <w:p w:rsidR="006933BA" w:rsidRDefault="006933BA" w:rsidP="006F7287">
            <w:pPr>
              <w:pStyle w:val="Title"/>
              <w:jc w:val="both"/>
              <w:rPr>
                <w:b w:val="0"/>
                <w:bCs w:val="0"/>
              </w:rPr>
            </w:pPr>
            <w:r>
              <w:rPr>
                <w:b w:val="0"/>
                <w:bCs w:val="0"/>
              </w:rPr>
              <w:t>PM</w:t>
            </w:r>
            <w:r w:rsidRPr="00B72C1A">
              <w:rPr>
                <w:b w:val="0"/>
                <w:bCs w:val="0"/>
                <w:vertAlign w:val="subscript"/>
              </w:rPr>
              <w:t>10</w:t>
            </w:r>
          </w:p>
        </w:tc>
        <w:tc>
          <w:tcPr>
            <w:tcW w:w="1266" w:type="dxa"/>
          </w:tcPr>
          <w:p w:rsidR="006933BA" w:rsidRPr="00015E88" w:rsidRDefault="00110ECF" w:rsidP="006F7287">
            <w:pPr>
              <w:pStyle w:val="Title"/>
              <w:jc w:val="right"/>
              <w:rPr>
                <w:b w:val="0"/>
                <w:bCs w:val="0"/>
              </w:rPr>
            </w:pPr>
            <w:r>
              <w:rPr>
                <w:b w:val="0"/>
                <w:bCs w:val="0"/>
              </w:rPr>
              <w:t>17.05</w:t>
            </w:r>
          </w:p>
        </w:tc>
        <w:tc>
          <w:tcPr>
            <w:tcW w:w="1284" w:type="dxa"/>
          </w:tcPr>
          <w:p w:rsidR="006933BA" w:rsidRPr="00015E88" w:rsidRDefault="00110ECF" w:rsidP="006F7287">
            <w:pPr>
              <w:pStyle w:val="Title"/>
              <w:jc w:val="right"/>
              <w:rPr>
                <w:b w:val="0"/>
                <w:bCs w:val="0"/>
              </w:rPr>
            </w:pPr>
            <w:r>
              <w:rPr>
                <w:b w:val="0"/>
                <w:bCs w:val="0"/>
              </w:rPr>
              <w:t>23.98</w:t>
            </w:r>
          </w:p>
        </w:tc>
        <w:tc>
          <w:tcPr>
            <w:tcW w:w="1146" w:type="dxa"/>
          </w:tcPr>
          <w:p w:rsidR="006933BA" w:rsidRPr="00015E88" w:rsidRDefault="00110ECF" w:rsidP="006F7287">
            <w:pPr>
              <w:pStyle w:val="Title"/>
              <w:jc w:val="right"/>
              <w:rPr>
                <w:b w:val="0"/>
                <w:bCs w:val="0"/>
              </w:rPr>
            </w:pPr>
            <w:r>
              <w:rPr>
                <w:b w:val="0"/>
                <w:bCs w:val="0"/>
              </w:rPr>
              <w:t>6.93</w:t>
            </w:r>
          </w:p>
        </w:tc>
        <w:tc>
          <w:tcPr>
            <w:tcW w:w="1726" w:type="dxa"/>
          </w:tcPr>
          <w:p w:rsidR="006933BA" w:rsidRDefault="006933BA" w:rsidP="006F7287">
            <w:pPr>
              <w:pStyle w:val="Title"/>
              <w:rPr>
                <w:b w:val="0"/>
                <w:bCs w:val="0"/>
              </w:rPr>
            </w:pPr>
            <w:r>
              <w:rPr>
                <w:b w:val="0"/>
                <w:bCs w:val="0"/>
              </w:rPr>
              <w:t>15</w:t>
            </w:r>
          </w:p>
        </w:tc>
        <w:tc>
          <w:tcPr>
            <w:tcW w:w="1539" w:type="dxa"/>
            <w:tcBorders>
              <w:right w:val="single" w:sz="12" w:space="0" w:color="auto"/>
            </w:tcBorders>
          </w:tcPr>
          <w:p w:rsidR="006933BA" w:rsidRPr="00D270DC" w:rsidRDefault="006933BA" w:rsidP="006F7287">
            <w:pPr>
              <w:jc w:val="center"/>
            </w:pPr>
            <w:r w:rsidRPr="00D270DC">
              <w:t>No</w:t>
            </w:r>
          </w:p>
        </w:tc>
      </w:tr>
      <w:tr w:rsidR="006933BA" w:rsidTr="00475EFF">
        <w:tc>
          <w:tcPr>
            <w:tcW w:w="1517" w:type="dxa"/>
            <w:tcBorders>
              <w:left w:val="single" w:sz="12" w:space="0" w:color="auto"/>
            </w:tcBorders>
          </w:tcPr>
          <w:p w:rsidR="006933BA" w:rsidRDefault="006933BA" w:rsidP="006F7287">
            <w:pPr>
              <w:pStyle w:val="Title"/>
              <w:jc w:val="both"/>
              <w:rPr>
                <w:b w:val="0"/>
                <w:bCs w:val="0"/>
              </w:rPr>
            </w:pPr>
            <w:r>
              <w:rPr>
                <w:b w:val="0"/>
                <w:bCs w:val="0"/>
              </w:rPr>
              <w:t>PM</w:t>
            </w:r>
            <w:r w:rsidRPr="00B72C1A">
              <w:rPr>
                <w:b w:val="0"/>
                <w:bCs w:val="0"/>
                <w:vertAlign w:val="subscript"/>
              </w:rPr>
              <w:t>2.5</w:t>
            </w:r>
          </w:p>
        </w:tc>
        <w:tc>
          <w:tcPr>
            <w:tcW w:w="1266" w:type="dxa"/>
          </w:tcPr>
          <w:p w:rsidR="006933BA" w:rsidRPr="00015E88" w:rsidRDefault="00110ECF" w:rsidP="006F7287">
            <w:pPr>
              <w:pStyle w:val="Title"/>
              <w:jc w:val="right"/>
              <w:rPr>
                <w:b w:val="0"/>
                <w:bCs w:val="0"/>
              </w:rPr>
            </w:pPr>
            <w:r>
              <w:rPr>
                <w:b w:val="0"/>
                <w:bCs w:val="0"/>
              </w:rPr>
              <w:t>17.05</w:t>
            </w:r>
          </w:p>
        </w:tc>
        <w:tc>
          <w:tcPr>
            <w:tcW w:w="1284" w:type="dxa"/>
          </w:tcPr>
          <w:p w:rsidR="006933BA" w:rsidRPr="00015E88" w:rsidRDefault="00110ECF" w:rsidP="006F7287">
            <w:pPr>
              <w:pStyle w:val="Title"/>
              <w:jc w:val="right"/>
              <w:rPr>
                <w:b w:val="0"/>
                <w:bCs w:val="0"/>
              </w:rPr>
            </w:pPr>
            <w:r>
              <w:rPr>
                <w:b w:val="0"/>
                <w:bCs w:val="0"/>
              </w:rPr>
              <w:t>23.98</w:t>
            </w:r>
          </w:p>
        </w:tc>
        <w:tc>
          <w:tcPr>
            <w:tcW w:w="1146" w:type="dxa"/>
          </w:tcPr>
          <w:p w:rsidR="006933BA" w:rsidRPr="00015E88" w:rsidRDefault="00110ECF" w:rsidP="006F7287">
            <w:pPr>
              <w:pStyle w:val="Title"/>
              <w:jc w:val="right"/>
              <w:rPr>
                <w:b w:val="0"/>
                <w:bCs w:val="0"/>
              </w:rPr>
            </w:pPr>
            <w:r>
              <w:rPr>
                <w:b w:val="0"/>
                <w:bCs w:val="0"/>
              </w:rPr>
              <w:t>6.93</w:t>
            </w:r>
          </w:p>
        </w:tc>
        <w:tc>
          <w:tcPr>
            <w:tcW w:w="1726" w:type="dxa"/>
          </w:tcPr>
          <w:p w:rsidR="006933BA" w:rsidRDefault="006933BA" w:rsidP="006F7287">
            <w:pPr>
              <w:pStyle w:val="Title"/>
              <w:rPr>
                <w:b w:val="0"/>
                <w:bCs w:val="0"/>
              </w:rPr>
            </w:pPr>
            <w:r>
              <w:rPr>
                <w:b w:val="0"/>
                <w:bCs w:val="0"/>
              </w:rPr>
              <w:t>10</w:t>
            </w:r>
          </w:p>
        </w:tc>
        <w:tc>
          <w:tcPr>
            <w:tcW w:w="1539" w:type="dxa"/>
            <w:tcBorders>
              <w:right w:val="single" w:sz="12" w:space="0" w:color="auto"/>
            </w:tcBorders>
          </w:tcPr>
          <w:p w:rsidR="006933BA" w:rsidRPr="00D270DC" w:rsidRDefault="006933BA" w:rsidP="006F7287">
            <w:pPr>
              <w:jc w:val="center"/>
            </w:pPr>
            <w:r w:rsidRPr="00D270DC">
              <w:t>No</w:t>
            </w:r>
          </w:p>
        </w:tc>
      </w:tr>
      <w:tr w:rsidR="006933BA" w:rsidTr="00475EFF">
        <w:tc>
          <w:tcPr>
            <w:tcW w:w="1517" w:type="dxa"/>
            <w:tcBorders>
              <w:left w:val="single" w:sz="12" w:space="0" w:color="auto"/>
            </w:tcBorders>
          </w:tcPr>
          <w:p w:rsidR="006933BA" w:rsidRDefault="006933BA" w:rsidP="006F7287">
            <w:pPr>
              <w:pStyle w:val="Title"/>
              <w:jc w:val="both"/>
              <w:rPr>
                <w:b w:val="0"/>
                <w:bCs w:val="0"/>
              </w:rPr>
            </w:pPr>
            <w:r>
              <w:rPr>
                <w:b w:val="0"/>
                <w:bCs w:val="0"/>
              </w:rPr>
              <w:t>SO</w:t>
            </w:r>
            <w:r w:rsidRPr="00B72C1A">
              <w:rPr>
                <w:b w:val="0"/>
                <w:bCs w:val="0"/>
                <w:vertAlign w:val="subscript"/>
              </w:rPr>
              <w:t>2</w:t>
            </w:r>
          </w:p>
        </w:tc>
        <w:tc>
          <w:tcPr>
            <w:tcW w:w="1266" w:type="dxa"/>
          </w:tcPr>
          <w:p w:rsidR="006933BA" w:rsidRPr="00015E88" w:rsidRDefault="00110ECF" w:rsidP="006F7287">
            <w:pPr>
              <w:pStyle w:val="Title"/>
              <w:jc w:val="right"/>
              <w:rPr>
                <w:b w:val="0"/>
                <w:bCs w:val="0"/>
              </w:rPr>
            </w:pPr>
            <w:r>
              <w:rPr>
                <w:b w:val="0"/>
                <w:bCs w:val="0"/>
              </w:rPr>
              <w:t>1.41</w:t>
            </w:r>
          </w:p>
        </w:tc>
        <w:tc>
          <w:tcPr>
            <w:tcW w:w="1284" w:type="dxa"/>
          </w:tcPr>
          <w:p w:rsidR="006933BA" w:rsidRPr="00015E88" w:rsidRDefault="00110ECF" w:rsidP="006F7287">
            <w:pPr>
              <w:pStyle w:val="Title"/>
              <w:jc w:val="right"/>
              <w:rPr>
                <w:b w:val="0"/>
                <w:bCs w:val="0"/>
              </w:rPr>
            </w:pPr>
            <w:r>
              <w:rPr>
                <w:b w:val="0"/>
                <w:bCs w:val="0"/>
              </w:rPr>
              <w:t>1.84</w:t>
            </w:r>
          </w:p>
        </w:tc>
        <w:tc>
          <w:tcPr>
            <w:tcW w:w="1146" w:type="dxa"/>
          </w:tcPr>
          <w:p w:rsidR="006933BA" w:rsidRPr="00015E88" w:rsidRDefault="00110ECF" w:rsidP="006F7287">
            <w:pPr>
              <w:pStyle w:val="Title"/>
              <w:jc w:val="right"/>
              <w:rPr>
                <w:b w:val="0"/>
                <w:bCs w:val="0"/>
              </w:rPr>
            </w:pPr>
            <w:r>
              <w:rPr>
                <w:b w:val="0"/>
                <w:bCs w:val="0"/>
              </w:rPr>
              <w:t>0.44</w:t>
            </w:r>
          </w:p>
        </w:tc>
        <w:tc>
          <w:tcPr>
            <w:tcW w:w="1726" w:type="dxa"/>
          </w:tcPr>
          <w:p w:rsidR="006933BA" w:rsidRDefault="006933BA" w:rsidP="006F7287">
            <w:pPr>
              <w:pStyle w:val="Title"/>
              <w:rPr>
                <w:b w:val="0"/>
                <w:bCs w:val="0"/>
              </w:rPr>
            </w:pPr>
            <w:r>
              <w:rPr>
                <w:b w:val="0"/>
                <w:bCs w:val="0"/>
              </w:rPr>
              <w:t>40</w:t>
            </w:r>
          </w:p>
        </w:tc>
        <w:tc>
          <w:tcPr>
            <w:tcW w:w="1539" w:type="dxa"/>
            <w:tcBorders>
              <w:right w:val="single" w:sz="12" w:space="0" w:color="auto"/>
            </w:tcBorders>
          </w:tcPr>
          <w:p w:rsidR="006933BA" w:rsidRPr="00D270DC" w:rsidRDefault="006933BA" w:rsidP="006F7287">
            <w:pPr>
              <w:jc w:val="center"/>
            </w:pPr>
            <w:r w:rsidRPr="00D270DC">
              <w:t>No</w:t>
            </w:r>
          </w:p>
        </w:tc>
      </w:tr>
      <w:tr w:rsidR="006933BA" w:rsidTr="00475EFF">
        <w:tc>
          <w:tcPr>
            <w:tcW w:w="1517" w:type="dxa"/>
            <w:tcBorders>
              <w:left w:val="single" w:sz="12" w:space="0" w:color="auto"/>
            </w:tcBorders>
          </w:tcPr>
          <w:p w:rsidR="006933BA" w:rsidRDefault="006933BA" w:rsidP="002D651E">
            <w:pPr>
              <w:pStyle w:val="Title"/>
              <w:jc w:val="both"/>
              <w:rPr>
                <w:b w:val="0"/>
                <w:bCs w:val="0"/>
              </w:rPr>
            </w:pPr>
            <w:r>
              <w:rPr>
                <w:b w:val="0"/>
                <w:bCs w:val="0"/>
              </w:rPr>
              <w:t xml:space="preserve">NOx </w:t>
            </w:r>
          </w:p>
        </w:tc>
        <w:tc>
          <w:tcPr>
            <w:tcW w:w="1266" w:type="dxa"/>
          </w:tcPr>
          <w:p w:rsidR="006933BA" w:rsidRPr="00015E88" w:rsidRDefault="00110ECF" w:rsidP="006F7287">
            <w:pPr>
              <w:pStyle w:val="Title"/>
              <w:jc w:val="right"/>
              <w:rPr>
                <w:b w:val="0"/>
                <w:bCs w:val="0"/>
              </w:rPr>
            </w:pPr>
            <w:r>
              <w:rPr>
                <w:b w:val="0"/>
                <w:bCs w:val="0"/>
              </w:rPr>
              <w:t>514.26</w:t>
            </w:r>
          </w:p>
        </w:tc>
        <w:tc>
          <w:tcPr>
            <w:tcW w:w="1284" w:type="dxa"/>
          </w:tcPr>
          <w:p w:rsidR="006933BA" w:rsidRPr="00015E88" w:rsidRDefault="00110ECF" w:rsidP="006F7287">
            <w:pPr>
              <w:pStyle w:val="Title"/>
              <w:jc w:val="right"/>
              <w:rPr>
                <w:b w:val="0"/>
                <w:bCs w:val="0"/>
              </w:rPr>
            </w:pPr>
            <w:r>
              <w:rPr>
                <w:b w:val="0"/>
                <w:bCs w:val="0"/>
              </w:rPr>
              <w:t>759.10</w:t>
            </w:r>
          </w:p>
        </w:tc>
        <w:tc>
          <w:tcPr>
            <w:tcW w:w="1146" w:type="dxa"/>
          </w:tcPr>
          <w:p w:rsidR="006933BA" w:rsidRPr="00015E88" w:rsidRDefault="00110ECF" w:rsidP="006F7287">
            <w:pPr>
              <w:pStyle w:val="Title"/>
              <w:jc w:val="right"/>
              <w:rPr>
                <w:b w:val="0"/>
                <w:bCs w:val="0"/>
              </w:rPr>
            </w:pPr>
            <w:r>
              <w:rPr>
                <w:b w:val="0"/>
                <w:bCs w:val="0"/>
              </w:rPr>
              <w:t>244.85</w:t>
            </w:r>
          </w:p>
        </w:tc>
        <w:tc>
          <w:tcPr>
            <w:tcW w:w="1726" w:type="dxa"/>
          </w:tcPr>
          <w:p w:rsidR="006933BA" w:rsidRDefault="006933BA" w:rsidP="006F7287">
            <w:pPr>
              <w:pStyle w:val="Title"/>
              <w:rPr>
                <w:b w:val="0"/>
                <w:bCs w:val="0"/>
              </w:rPr>
            </w:pPr>
            <w:r>
              <w:rPr>
                <w:b w:val="0"/>
                <w:bCs w:val="0"/>
              </w:rPr>
              <w:t>40</w:t>
            </w:r>
          </w:p>
        </w:tc>
        <w:tc>
          <w:tcPr>
            <w:tcW w:w="1539" w:type="dxa"/>
            <w:tcBorders>
              <w:right w:val="single" w:sz="12" w:space="0" w:color="auto"/>
            </w:tcBorders>
          </w:tcPr>
          <w:p w:rsidR="006933BA" w:rsidRPr="00D270DC" w:rsidRDefault="006933BA" w:rsidP="006F7287">
            <w:pPr>
              <w:jc w:val="center"/>
            </w:pPr>
            <w:r>
              <w:t>Yes</w:t>
            </w:r>
          </w:p>
        </w:tc>
      </w:tr>
      <w:tr w:rsidR="006933BA" w:rsidTr="00475EFF">
        <w:tc>
          <w:tcPr>
            <w:tcW w:w="1517" w:type="dxa"/>
            <w:tcBorders>
              <w:left w:val="single" w:sz="12" w:space="0" w:color="auto"/>
            </w:tcBorders>
          </w:tcPr>
          <w:p w:rsidR="006933BA" w:rsidRDefault="006933BA" w:rsidP="006F7287">
            <w:pPr>
              <w:pStyle w:val="Title"/>
              <w:jc w:val="both"/>
              <w:rPr>
                <w:b w:val="0"/>
                <w:bCs w:val="0"/>
              </w:rPr>
            </w:pPr>
            <w:r>
              <w:rPr>
                <w:b w:val="0"/>
                <w:bCs w:val="0"/>
              </w:rPr>
              <w:t>CO</w:t>
            </w:r>
          </w:p>
        </w:tc>
        <w:tc>
          <w:tcPr>
            <w:tcW w:w="1266" w:type="dxa"/>
          </w:tcPr>
          <w:p w:rsidR="006933BA" w:rsidRPr="00015E88" w:rsidRDefault="00110ECF" w:rsidP="006F7287">
            <w:pPr>
              <w:pStyle w:val="Title"/>
              <w:jc w:val="right"/>
              <w:rPr>
                <w:b w:val="0"/>
                <w:bCs w:val="0"/>
              </w:rPr>
            </w:pPr>
            <w:r>
              <w:rPr>
                <w:b w:val="0"/>
                <w:bCs w:val="0"/>
              </w:rPr>
              <w:t>139.94</w:t>
            </w:r>
          </w:p>
        </w:tc>
        <w:tc>
          <w:tcPr>
            <w:tcW w:w="1284" w:type="dxa"/>
          </w:tcPr>
          <w:p w:rsidR="006933BA" w:rsidRPr="00015E88" w:rsidRDefault="00110ECF" w:rsidP="006F7287">
            <w:pPr>
              <w:pStyle w:val="Title"/>
              <w:jc w:val="right"/>
              <w:rPr>
                <w:b w:val="0"/>
                <w:bCs w:val="0"/>
              </w:rPr>
            </w:pPr>
            <w:r>
              <w:rPr>
                <w:b w:val="0"/>
                <w:bCs w:val="0"/>
              </w:rPr>
              <w:t>213.22</w:t>
            </w:r>
          </w:p>
        </w:tc>
        <w:tc>
          <w:tcPr>
            <w:tcW w:w="1146" w:type="dxa"/>
          </w:tcPr>
          <w:p w:rsidR="006933BA" w:rsidRPr="00015E88" w:rsidRDefault="00110ECF" w:rsidP="006F7287">
            <w:pPr>
              <w:pStyle w:val="Title"/>
              <w:jc w:val="right"/>
              <w:rPr>
                <w:b w:val="0"/>
                <w:bCs w:val="0"/>
              </w:rPr>
            </w:pPr>
            <w:r>
              <w:rPr>
                <w:b w:val="0"/>
                <w:bCs w:val="0"/>
              </w:rPr>
              <w:t>73.28</w:t>
            </w:r>
          </w:p>
        </w:tc>
        <w:tc>
          <w:tcPr>
            <w:tcW w:w="1726" w:type="dxa"/>
          </w:tcPr>
          <w:p w:rsidR="006933BA" w:rsidRDefault="006933BA" w:rsidP="006F7287">
            <w:pPr>
              <w:pStyle w:val="Title"/>
              <w:rPr>
                <w:b w:val="0"/>
                <w:bCs w:val="0"/>
              </w:rPr>
            </w:pPr>
            <w:r>
              <w:rPr>
                <w:b w:val="0"/>
                <w:bCs w:val="0"/>
              </w:rPr>
              <w:t>100</w:t>
            </w:r>
          </w:p>
        </w:tc>
        <w:tc>
          <w:tcPr>
            <w:tcW w:w="1539" w:type="dxa"/>
            <w:tcBorders>
              <w:right w:val="single" w:sz="12" w:space="0" w:color="auto"/>
            </w:tcBorders>
          </w:tcPr>
          <w:p w:rsidR="006933BA" w:rsidRPr="00D270DC" w:rsidRDefault="006933BA" w:rsidP="006F7287">
            <w:pPr>
              <w:jc w:val="center"/>
            </w:pPr>
            <w:r w:rsidRPr="00D270DC">
              <w:t>No</w:t>
            </w:r>
          </w:p>
        </w:tc>
      </w:tr>
      <w:tr w:rsidR="006933BA" w:rsidTr="00475EFF">
        <w:tc>
          <w:tcPr>
            <w:tcW w:w="1517" w:type="dxa"/>
            <w:tcBorders>
              <w:left w:val="single" w:sz="12" w:space="0" w:color="auto"/>
            </w:tcBorders>
          </w:tcPr>
          <w:p w:rsidR="006933BA" w:rsidRDefault="006933BA" w:rsidP="006F7287">
            <w:pPr>
              <w:pStyle w:val="Title"/>
              <w:jc w:val="both"/>
              <w:rPr>
                <w:b w:val="0"/>
                <w:bCs w:val="0"/>
              </w:rPr>
            </w:pPr>
            <w:r>
              <w:rPr>
                <w:b w:val="0"/>
                <w:bCs w:val="0"/>
              </w:rPr>
              <w:t>VOC</w:t>
            </w:r>
          </w:p>
        </w:tc>
        <w:tc>
          <w:tcPr>
            <w:tcW w:w="1266" w:type="dxa"/>
          </w:tcPr>
          <w:p w:rsidR="006933BA" w:rsidRPr="00015E88" w:rsidRDefault="00110ECF" w:rsidP="006F7287">
            <w:pPr>
              <w:pStyle w:val="Title"/>
              <w:jc w:val="right"/>
              <w:rPr>
                <w:b w:val="0"/>
                <w:bCs w:val="0"/>
              </w:rPr>
            </w:pPr>
            <w:r>
              <w:rPr>
                <w:b w:val="0"/>
                <w:bCs w:val="0"/>
              </w:rPr>
              <w:t>47.92</w:t>
            </w:r>
          </w:p>
        </w:tc>
        <w:tc>
          <w:tcPr>
            <w:tcW w:w="1284" w:type="dxa"/>
          </w:tcPr>
          <w:p w:rsidR="006933BA" w:rsidRPr="00015E88" w:rsidRDefault="00110ECF" w:rsidP="006F7287">
            <w:pPr>
              <w:pStyle w:val="Title"/>
              <w:jc w:val="right"/>
              <w:rPr>
                <w:b w:val="0"/>
                <w:bCs w:val="0"/>
              </w:rPr>
            </w:pPr>
            <w:r>
              <w:rPr>
                <w:b w:val="0"/>
                <w:bCs w:val="0"/>
              </w:rPr>
              <w:t>56.78</w:t>
            </w:r>
          </w:p>
        </w:tc>
        <w:tc>
          <w:tcPr>
            <w:tcW w:w="1146" w:type="dxa"/>
          </w:tcPr>
          <w:p w:rsidR="006933BA" w:rsidRPr="00015E88" w:rsidRDefault="00110ECF" w:rsidP="006F7287">
            <w:pPr>
              <w:pStyle w:val="Title"/>
              <w:jc w:val="right"/>
              <w:rPr>
                <w:b w:val="0"/>
                <w:bCs w:val="0"/>
              </w:rPr>
            </w:pPr>
            <w:r>
              <w:rPr>
                <w:b w:val="0"/>
                <w:bCs w:val="0"/>
              </w:rPr>
              <w:t>8.85</w:t>
            </w:r>
          </w:p>
        </w:tc>
        <w:tc>
          <w:tcPr>
            <w:tcW w:w="1726" w:type="dxa"/>
          </w:tcPr>
          <w:p w:rsidR="006933BA" w:rsidRDefault="006933BA" w:rsidP="006F7287">
            <w:pPr>
              <w:pStyle w:val="Title"/>
              <w:rPr>
                <w:b w:val="0"/>
                <w:bCs w:val="0"/>
              </w:rPr>
            </w:pPr>
            <w:r>
              <w:rPr>
                <w:b w:val="0"/>
                <w:bCs w:val="0"/>
              </w:rPr>
              <w:t>40</w:t>
            </w:r>
          </w:p>
        </w:tc>
        <w:tc>
          <w:tcPr>
            <w:tcW w:w="1539" w:type="dxa"/>
            <w:tcBorders>
              <w:right w:val="single" w:sz="12" w:space="0" w:color="auto"/>
            </w:tcBorders>
          </w:tcPr>
          <w:p w:rsidR="006933BA" w:rsidRPr="00D270DC" w:rsidRDefault="006933BA" w:rsidP="006F7287">
            <w:pPr>
              <w:jc w:val="center"/>
            </w:pPr>
            <w:r w:rsidRPr="00D270DC">
              <w:t>No</w:t>
            </w:r>
          </w:p>
        </w:tc>
      </w:tr>
      <w:tr w:rsidR="00110ECF" w:rsidTr="00475EFF">
        <w:tc>
          <w:tcPr>
            <w:tcW w:w="1517" w:type="dxa"/>
            <w:tcBorders>
              <w:left w:val="single" w:sz="12" w:space="0" w:color="auto"/>
              <w:bottom w:val="single" w:sz="12" w:space="0" w:color="auto"/>
            </w:tcBorders>
          </w:tcPr>
          <w:p w:rsidR="00110ECF" w:rsidRDefault="00110ECF" w:rsidP="006F7287">
            <w:pPr>
              <w:pStyle w:val="Title"/>
              <w:jc w:val="both"/>
              <w:rPr>
                <w:b w:val="0"/>
                <w:bCs w:val="0"/>
              </w:rPr>
            </w:pPr>
            <w:r>
              <w:rPr>
                <w:b w:val="0"/>
                <w:bCs w:val="0"/>
              </w:rPr>
              <w:t>Lead</w:t>
            </w:r>
          </w:p>
        </w:tc>
        <w:tc>
          <w:tcPr>
            <w:tcW w:w="1266" w:type="dxa"/>
            <w:tcBorders>
              <w:bottom w:val="single" w:sz="12" w:space="0" w:color="auto"/>
            </w:tcBorders>
          </w:tcPr>
          <w:p w:rsidR="00110ECF" w:rsidRPr="00015E88" w:rsidRDefault="00110ECF" w:rsidP="006F7287">
            <w:pPr>
              <w:pStyle w:val="Title"/>
              <w:jc w:val="right"/>
              <w:rPr>
                <w:b w:val="0"/>
                <w:bCs w:val="0"/>
              </w:rPr>
            </w:pPr>
            <w:r>
              <w:rPr>
                <w:b w:val="0"/>
                <w:bCs w:val="0"/>
              </w:rPr>
              <w:t>1.57E-03</w:t>
            </w:r>
          </w:p>
        </w:tc>
        <w:tc>
          <w:tcPr>
            <w:tcW w:w="1284" w:type="dxa"/>
            <w:tcBorders>
              <w:bottom w:val="single" w:sz="12" w:space="0" w:color="auto"/>
            </w:tcBorders>
          </w:tcPr>
          <w:p w:rsidR="00110ECF" w:rsidRPr="00015E88" w:rsidRDefault="00110ECF" w:rsidP="006F7287">
            <w:pPr>
              <w:pStyle w:val="Title"/>
              <w:jc w:val="right"/>
              <w:rPr>
                <w:b w:val="0"/>
                <w:bCs w:val="0"/>
              </w:rPr>
            </w:pPr>
            <w:r>
              <w:rPr>
                <w:b w:val="0"/>
                <w:bCs w:val="0"/>
              </w:rPr>
              <w:t>2.06E-03</w:t>
            </w:r>
          </w:p>
        </w:tc>
        <w:tc>
          <w:tcPr>
            <w:tcW w:w="1146" w:type="dxa"/>
            <w:tcBorders>
              <w:bottom w:val="single" w:sz="12" w:space="0" w:color="auto"/>
            </w:tcBorders>
          </w:tcPr>
          <w:p w:rsidR="00110ECF" w:rsidRPr="00015E88" w:rsidRDefault="00110ECF" w:rsidP="006F7287">
            <w:pPr>
              <w:pStyle w:val="Title"/>
              <w:jc w:val="right"/>
              <w:rPr>
                <w:b w:val="0"/>
                <w:bCs w:val="0"/>
              </w:rPr>
            </w:pPr>
            <w:r>
              <w:rPr>
                <w:b w:val="0"/>
                <w:bCs w:val="0"/>
              </w:rPr>
              <w:t>4.88E-04</w:t>
            </w:r>
          </w:p>
        </w:tc>
        <w:tc>
          <w:tcPr>
            <w:tcW w:w="1726" w:type="dxa"/>
            <w:tcBorders>
              <w:bottom w:val="single" w:sz="12" w:space="0" w:color="auto"/>
            </w:tcBorders>
          </w:tcPr>
          <w:p w:rsidR="00110ECF" w:rsidRDefault="00110ECF" w:rsidP="006F7287">
            <w:pPr>
              <w:pStyle w:val="Title"/>
              <w:rPr>
                <w:b w:val="0"/>
                <w:bCs w:val="0"/>
              </w:rPr>
            </w:pPr>
            <w:r>
              <w:rPr>
                <w:b w:val="0"/>
                <w:bCs w:val="0"/>
              </w:rPr>
              <w:t>0.6</w:t>
            </w:r>
          </w:p>
        </w:tc>
        <w:tc>
          <w:tcPr>
            <w:tcW w:w="1539" w:type="dxa"/>
            <w:tcBorders>
              <w:bottom w:val="single" w:sz="12" w:space="0" w:color="auto"/>
              <w:right w:val="single" w:sz="12" w:space="0" w:color="auto"/>
            </w:tcBorders>
          </w:tcPr>
          <w:p w:rsidR="00110ECF" w:rsidRPr="00D270DC" w:rsidRDefault="00110ECF" w:rsidP="006F7287">
            <w:pPr>
              <w:jc w:val="center"/>
            </w:pPr>
            <w:r>
              <w:t>No</w:t>
            </w:r>
          </w:p>
        </w:tc>
      </w:tr>
    </w:tbl>
    <w:p w:rsidR="004F1F0D" w:rsidRDefault="004F1F0D">
      <w:pPr>
        <w:pStyle w:val="Title"/>
        <w:jc w:val="both"/>
        <w:rPr>
          <w:b w:val="0"/>
          <w:bCs w:val="0"/>
        </w:rPr>
      </w:pPr>
    </w:p>
    <w:p w:rsidR="00430BD1" w:rsidRPr="00D41D5B" w:rsidRDefault="00430BD1" w:rsidP="00430BD1">
      <w:pPr>
        <w:pStyle w:val="Title"/>
        <w:ind w:left="540" w:hanging="90"/>
        <w:jc w:val="both"/>
        <w:rPr>
          <w:b w:val="0"/>
          <w:bCs w:val="0"/>
          <w:sz w:val="18"/>
          <w:szCs w:val="18"/>
        </w:rPr>
      </w:pPr>
      <w:r w:rsidRPr="00D41D5B">
        <w:rPr>
          <w:b w:val="0"/>
          <w:bCs w:val="0"/>
          <w:sz w:val="18"/>
          <w:szCs w:val="18"/>
          <w:vertAlign w:val="superscript"/>
        </w:rPr>
        <w:t xml:space="preserve">1 </w:t>
      </w:r>
      <w:r w:rsidR="002D651E" w:rsidRPr="00D41D5B">
        <w:rPr>
          <w:b w:val="0"/>
          <w:bCs w:val="0"/>
          <w:sz w:val="18"/>
          <w:szCs w:val="18"/>
        </w:rPr>
        <w:t xml:space="preserve">Baseline emissions are based on actual plant operations that occurred during the 24-month period from </w:t>
      </w:r>
      <w:smartTag w:uri="urn:schemas-microsoft-com:office:smarttags" w:element="stockticker">
        <w:smartTag w:uri="urn:schemas-microsoft-com:office:smarttags" w:element="date">
          <w:smartTagPr>
            <w:attr w:name="Year" w:val="2009"/>
            <w:attr w:name="Day" w:val="21"/>
            <w:attr w:name="Month" w:val="10"/>
          </w:smartTagPr>
          <w:r w:rsidR="002D651E" w:rsidRPr="00D41D5B">
            <w:rPr>
              <w:b w:val="0"/>
              <w:bCs w:val="0"/>
              <w:sz w:val="18"/>
              <w:szCs w:val="18"/>
            </w:rPr>
            <w:t>October 21, 2009</w:t>
          </w:r>
        </w:smartTag>
      </w:smartTag>
      <w:r w:rsidR="002D651E" w:rsidRPr="00D41D5B">
        <w:rPr>
          <w:b w:val="0"/>
          <w:bCs w:val="0"/>
          <w:sz w:val="18"/>
          <w:szCs w:val="18"/>
        </w:rPr>
        <w:t xml:space="preserve"> to </w:t>
      </w:r>
      <w:smartTag w:uri="urn:schemas-microsoft-com:office:smarttags" w:element="stockticker">
        <w:smartTag w:uri="urn:schemas-microsoft-com:office:smarttags" w:element="date">
          <w:smartTagPr>
            <w:attr w:name="Year" w:val="2011"/>
            <w:attr w:name="Day" w:val="20"/>
            <w:attr w:name="Month" w:val="10"/>
          </w:smartTagPr>
          <w:r w:rsidR="002D651E" w:rsidRPr="00D41D5B">
            <w:rPr>
              <w:b w:val="0"/>
              <w:bCs w:val="0"/>
              <w:sz w:val="18"/>
              <w:szCs w:val="18"/>
            </w:rPr>
            <w:t>October 20, 2011</w:t>
          </w:r>
        </w:smartTag>
      </w:smartTag>
      <w:r w:rsidR="002D651E" w:rsidRPr="00D41D5B">
        <w:rPr>
          <w:b w:val="0"/>
          <w:bCs w:val="0"/>
          <w:sz w:val="18"/>
          <w:szCs w:val="18"/>
        </w:rPr>
        <w:t xml:space="preserve">.   </w:t>
      </w:r>
    </w:p>
    <w:p w:rsidR="002D651E" w:rsidRPr="00D41D5B" w:rsidRDefault="00430BD1" w:rsidP="00430BD1">
      <w:pPr>
        <w:pStyle w:val="Title"/>
        <w:ind w:left="540" w:hanging="90"/>
        <w:jc w:val="both"/>
        <w:rPr>
          <w:b w:val="0"/>
          <w:bCs w:val="0"/>
          <w:sz w:val="18"/>
          <w:szCs w:val="18"/>
        </w:rPr>
      </w:pPr>
      <w:r w:rsidRPr="00D41D5B">
        <w:rPr>
          <w:b w:val="0"/>
          <w:bCs w:val="0"/>
          <w:sz w:val="18"/>
          <w:szCs w:val="18"/>
          <w:vertAlign w:val="superscript"/>
        </w:rPr>
        <w:lastRenderedPageBreak/>
        <w:t>2</w:t>
      </w:r>
      <w:r w:rsidR="00D41D5B" w:rsidRPr="00D41D5B">
        <w:rPr>
          <w:b w:val="0"/>
          <w:bCs w:val="0"/>
          <w:sz w:val="18"/>
          <w:szCs w:val="18"/>
          <w:vertAlign w:val="superscript"/>
        </w:rPr>
        <w:t xml:space="preserve"> </w:t>
      </w:r>
      <w:r w:rsidRPr="00D41D5B">
        <w:rPr>
          <w:b w:val="0"/>
          <w:bCs w:val="0"/>
          <w:sz w:val="18"/>
          <w:szCs w:val="18"/>
        </w:rPr>
        <w:t>Baseline emissions have been corrected to reflect emissions from firing low pressure purge gas, which was omitted</w:t>
      </w:r>
      <w:r w:rsidR="002D651E" w:rsidRPr="00D41D5B">
        <w:rPr>
          <w:b w:val="0"/>
          <w:bCs w:val="0"/>
          <w:sz w:val="18"/>
          <w:szCs w:val="18"/>
        </w:rPr>
        <w:t xml:space="preserve"> </w:t>
      </w:r>
      <w:r w:rsidRPr="00D41D5B">
        <w:rPr>
          <w:b w:val="0"/>
          <w:bCs w:val="0"/>
          <w:sz w:val="18"/>
          <w:szCs w:val="18"/>
        </w:rPr>
        <w:t>from the original 2012 permit application.</w:t>
      </w:r>
    </w:p>
    <w:p w:rsidR="009C2DA1" w:rsidRDefault="009C2DA1">
      <w:pPr>
        <w:widowControl/>
        <w:autoSpaceDE/>
        <w:autoSpaceDN/>
      </w:pPr>
    </w:p>
    <w:p w:rsidR="006362E3" w:rsidRPr="009C2DA1" w:rsidRDefault="009C2DA1" w:rsidP="009C2DA1">
      <w:pPr>
        <w:pStyle w:val="Title"/>
        <w:rPr>
          <w:bCs w:val="0"/>
          <w:u w:val="single"/>
        </w:rPr>
      </w:pPr>
      <w:r w:rsidRPr="009C2DA1">
        <w:rPr>
          <w:bCs w:val="0"/>
          <w:u w:val="single"/>
        </w:rPr>
        <w:t>Net Emissions Increase Evaluation</w:t>
      </w:r>
    </w:p>
    <w:p w:rsidR="009C2DA1" w:rsidRDefault="009C2DA1">
      <w:pPr>
        <w:pStyle w:val="Title"/>
        <w:jc w:val="both"/>
        <w:rPr>
          <w:b w:val="0"/>
          <w:bCs w:val="0"/>
        </w:rPr>
      </w:pPr>
    </w:p>
    <w:tbl>
      <w:tblPr>
        <w:tblStyle w:val="TableGrid"/>
        <w:tblW w:w="0" w:type="auto"/>
        <w:tblLayout w:type="fixed"/>
        <w:tblLook w:val="04A0" w:firstRow="1" w:lastRow="0" w:firstColumn="1" w:lastColumn="0" w:noHBand="0" w:noVBand="1"/>
      </w:tblPr>
      <w:tblGrid>
        <w:gridCol w:w="1406"/>
        <w:gridCol w:w="5905"/>
        <w:gridCol w:w="1863"/>
      </w:tblGrid>
      <w:tr w:rsidR="009C2DA1" w:rsidTr="00475EFF">
        <w:tc>
          <w:tcPr>
            <w:tcW w:w="1406" w:type="dxa"/>
            <w:tcBorders>
              <w:top w:val="single" w:sz="12" w:space="0" w:color="auto"/>
              <w:left w:val="single" w:sz="12" w:space="0" w:color="auto"/>
              <w:bottom w:val="single" w:sz="12" w:space="0" w:color="auto"/>
            </w:tcBorders>
            <w:shd w:val="clear" w:color="auto" w:fill="D9D9D9" w:themeFill="background1" w:themeFillShade="D9"/>
            <w:vAlign w:val="bottom"/>
          </w:tcPr>
          <w:p w:rsidR="009C2DA1" w:rsidRPr="009C2DA1" w:rsidRDefault="009C2DA1" w:rsidP="009C2DA1">
            <w:pPr>
              <w:pStyle w:val="Title"/>
              <w:rPr>
                <w:bCs w:val="0"/>
              </w:rPr>
            </w:pPr>
            <w:r w:rsidRPr="009C2DA1">
              <w:rPr>
                <w:bCs w:val="0"/>
              </w:rPr>
              <w:t>Emission Point</w:t>
            </w:r>
          </w:p>
        </w:tc>
        <w:tc>
          <w:tcPr>
            <w:tcW w:w="5905" w:type="dxa"/>
            <w:tcBorders>
              <w:top w:val="single" w:sz="12" w:space="0" w:color="auto"/>
              <w:bottom w:val="single" w:sz="12" w:space="0" w:color="auto"/>
              <w:right w:val="single" w:sz="12" w:space="0" w:color="auto"/>
            </w:tcBorders>
            <w:shd w:val="clear" w:color="auto" w:fill="D9D9D9" w:themeFill="background1" w:themeFillShade="D9"/>
            <w:vAlign w:val="bottom"/>
          </w:tcPr>
          <w:p w:rsidR="009C2DA1" w:rsidRPr="009C2DA1" w:rsidRDefault="009C2DA1" w:rsidP="009C2DA1">
            <w:pPr>
              <w:pStyle w:val="Title"/>
              <w:rPr>
                <w:bCs w:val="0"/>
              </w:rPr>
            </w:pPr>
            <w:r w:rsidRPr="009C2DA1">
              <w:rPr>
                <w:bCs w:val="0"/>
              </w:rPr>
              <w:t>Project Description</w:t>
            </w:r>
          </w:p>
        </w:tc>
        <w:tc>
          <w:tcPr>
            <w:tcW w:w="18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9C2DA1" w:rsidRPr="009C2DA1" w:rsidRDefault="009C2DA1" w:rsidP="009C2DA1">
            <w:pPr>
              <w:pStyle w:val="Title"/>
              <w:rPr>
                <w:bCs w:val="0"/>
              </w:rPr>
            </w:pPr>
            <w:r w:rsidRPr="009C2DA1">
              <w:rPr>
                <w:bCs w:val="0"/>
              </w:rPr>
              <w:t>NOx Emissions Increase (tons/yr)</w:t>
            </w:r>
          </w:p>
        </w:tc>
      </w:tr>
      <w:tr w:rsidR="009C2DA1" w:rsidTr="00475EFF">
        <w:tc>
          <w:tcPr>
            <w:tcW w:w="1406" w:type="dxa"/>
            <w:tcBorders>
              <w:top w:val="single" w:sz="12" w:space="0" w:color="auto"/>
              <w:left w:val="single" w:sz="12" w:space="0" w:color="auto"/>
              <w:bottom w:val="nil"/>
              <w:right w:val="nil"/>
            </w:tcBorders>
          </w:tcPr>
          <w:p w:rsidR="009C2DA1" w:rsidRDefault="009C2DA1" w:rsidP="00EB75B4">
            <w:pPr>
              <w:pStyle w:val="Title"/>
              <w:rPr>
                <w:b w:val="0"/>
                <w:bCs w:val="0"/>
              </w:rPr>
            </w:pPr>
            <w:r>
              <w:rPr>
                <w:b w:val="0"/>
                <w:bCs w:val="0"/>
              </w:rPr>
              <w:t>AD-005</w:t>
            </w:r>
          </w:p>
        </w:tc>
        <w:tc>
          <w:tcPr>
            <w:tcW w:w="5905" w:type="dxa"/>
            <w:tcBorders>
              <w:top w:val="single" w:sz="12" w:space="0" w:color="auto"/>
              <w:left w:val="nil"/>
              <w:bottom w:val="nil"/>
              <w:right w:val="single" w:sz="12" w:space="0" w:color="auto"/>
            </w:tcBorders>
          </w:tcPr>
          <w:p w:rsidR="009C2DA1" w:rsidRDefault="007F54B3" w:rsidP="009C2DA1">
            <w:pPr>
              <w:pStyle w:val="Title"/>
              <w:jc w:val="both"/>
              <w:rPr>
                <w:b w:val="0"/>
                <w:bCs w:val="0"/>
              </w:rPr>
            </w:pPr>
            <w:r>
              <w:rPr>
                <w:b w:val="0"/>
                <w:bCs w:val="0"/>
              </w:rPr>
              <w:t>2012 Ammonia Plant Turnaround Projects</w:t>
            </w:r>
            <w:r w:rsidR="009C2DA1">
              <w:rPr>
                <w:b w:val="0"/>
                <w:bCs w:val="0"/>
              </w:rPr>
              <w:t xml:space="preserve"> </w:t>
            </w:r>
          </w:p>
        </w:tc>
        <w:tc>
          <w:tcPr>
            <w:tcW w:w="1863" w:type="dxa"/>
            <w:tcBorders>
              <w:top w:val="single" w:sz="12" w:space="0" w:color="auto"/>
              <w:left w:val="single" w:sz="12" w:space="0" w:color="auto"/>
              <w:bottom w:val="nil"/>
              <w:right w:val="single" w:sz="12" w:space="0" w:color="auto"/>
            </w:tcBorders>
          </w:tcPr>
          <w:p w:rsidR="009C2DA1" w:rsidRDefault="009C2DA1" w:rsidP="009C2DA1">
            <w:pPr>
              <w:pStyle w:val="Title"/>
              <w:rPr>
                <w:b w:val="0"/>
                <w:bCs w:val="0"/>
              </w:rPr>
            </w:pPr>
            <w:r>
              <w:rPr>
                <w:b w:val="0"/>
                <w:bCs w:val="0"/>
              </w:rPr>
              <w:t>244.85</w:t>
            </w:r>
          </w:p>
        </w:tc>
      </w:tr>
      <w:tr w:rsidR="009C2DA1" w:rsidTr="00475EFF">
        <w:tc>
          <w:tcPr>
            <w:tcW w:w="1406" w:type="dxa"/>
            <w:tcBorders>
              <w:top w:val="nil"/>
              <w:left w:val="single" w:sz="12" w:space="0" w:color="auto"/>
              <w:bottom w:val="nil"/>
              <w:right w:val="nil"/>
            </w:tcBorders>
          </w:tcPr>
          <w:p w:rsidR="009C2DA1" w:rsidRDefault="009C2DA1">
            <w:pPr>
              <w:pStyle w:val="Title"/>
              <w:jc w:val="both"/>
              <w:rPr>
                <w:b w:val="0"/>
                <w:bCs w:val="0"/>
              </w:rPr>
            </w:pPr>
          </w:p>
        </w:tc>
        <w:tc>
          <w:tcPr>
            <w:tcW w:w="5905" w:type="dxa"/>
            <w:tcBorders>
              <w:top w:val="nil"/>
              <w:left w:val="nil"/>
              <w:bottom w:val="nil"/>
              <w:right w:val="single" w:sz="12" w:space="0" w:color="auto"/>
            </w:tcBorders>
          </w:tcPr>
          <w:p w:rsidR="009C2DA1" w:rsidRDefault="009C2DA1">
            <w:pPr>
              <w:pStyle w:val="Title"/>
              <w:jc w:val="both"/>
              <w:rPr>
                <w:b w:val="0"/>
                <w:bCs w:val="0"/>
              </w:rPr>
            </w:pPr>
          </w:p>
        </w:tc>
        <w:tc>
          <w:tcPr>
            <w:tcW w:w="1863" w:type="dxa"/>
            <w:tcBorders>
              <w:top w:val="nil"/>
              <w:left w:val="single" w:sz="12" w:space="0" w:color="auto"/>
              <w:bottom w:val="nil"/>
              <w:right w:val="single" w:sz="12" w:space="0" w:color="auto"/>
            </w:tcBorders>
          </w:tcPr>
          <w:p w:rsidR="009C2DA1" w:rsidRDefault="009C2DA1">
            <w:pPr>
              <w:pStyle w:val="Title"/>
              <w:jc w:val="both"/>
              <w:rPr>
                <w:b w:val="0"/>
                <w:bCs w:val="0"/>
              </w:rPr>
            </w:pPr>
          </w:p>
        </w:tc>
      </w:tr>
      <w:tr w:rsidR="00EB75B4" w:rsidTr="00EB75B4">
        <w:tc>
          <w:tcPr>
            <w:tcW w:w="7311" w:type="dxa"/>
            <w:gridSpan w:val="2"/>
            <w:tcBorders>
              <w:top w:val="nil"/>
              <w:left w:val="single" w:sz="12" w:space="0" w:color="auto"/>
              <w:bottom w:val="nil"/>
              <w:right w:val="single" w:sz="12" w:space="0" w:color="auto"/>
            </w:tcBorders>
          </w:tcPr>
          <w:p w:rsidR="00EB75B4" w:rsidRDefault="00EB75B4" w:rsidP="009C2DA1">
            <w:pPr>
              <w:pStyle w:val="Title"/>
              <w:jc w:val="both"/>
              <w:rPr>
                <w:b w:val="0"/>
                <w:bCs w:val="0"/>
              </w:rPr>
            </w:pPr>
            <w:r w:rsidRPr="009C2DA1">
              <w:rPr>
                <w:bCs w:val="0"/>
              </w:rPr>
              <w:t>Contemporaneous Increases/Decreases</w:t>
            </w:r>
            <w:r w:rsidR="00A061C0">
              <w:rPr>
                <w:bCs w:val="0"/>
              </w:rPr>
              <w:t xml:space="preserve"> </w:t>
            </w:r>
            <w:r w:rsidR="00A061C0" w:rsidRPr="00A061C0">
              <w:rPr>
                <w:bCs w:val="0"/>
                <w:vertAlign w:val="superscript"/>
              </w:rPr>
              <w:t>1</w:t>
            </w:r>
          </w:p>
        </w:tc>
        <w:tc>
          <w:tcPr>
            <w:tcW w:w="1863" w:type="dxa"/>
            <w:tcBorders>
              <w:top w:val="nil"/>
              <w:left w:val="single" w:sz="12" w:space="0" w:color="auto"/>
              <w:bottom w:val="nil"/>
              <w:right w:val="single" w:sz="12" w:space="0" w:color="auto"/>
            </w:tcBorders>
          </w:tcPr>
          <w:p w:rsidR="00EB75B4" w:rsidRDefault="00EB75B4" w:rsidP="008552A0">
            <w:pPr>
              <w:pStyle w:val="Title"/>
              <w:rPr>
                <w:b w:val="0"/>
                <w:bCs w:val="0"/>
              </w:rPr>
            </w:pPr>
          </w:p>
        </w:tc>
      </w:tr>
      <w:tr w:rsidR="009C2DA1" w:rsidTr="00475EFF">
        <w:tc>
          <w:tcPr>
            <w:tcW w:w="1406" w:type="dxa"/>
            <w:tcBorders>
              <w:top w:val="nil"/>
              <w:left w:val="single" w:sz="12" w:space="0" w:color="auto"/>
              <w:bottom w:val="single" w:sz="12" w:space="0" w:color="auto"/>
              <w:right w:val="nil"/>
            </w:tcBorders>
          </w:tcPr>
          <w:p w:rsidR="009C2DA1" w:rsidRDefault="009C2DA1" w:rsidP="00EB75B4">
            <w:pPr>
              <w:pStyle w:val="Title"/>
              <w:rPr>
                <w:b w:val="0"/>
                <w:bCs w:val="0"/>
              </w:rPr>
            </w:pPr>
            <w:r>
              <w:rPr>
                <w:b w:val="0"/>
                <w:bCs w:val="0"/>
              </w:rPr>
              <w:t>AD-005</w:t>
            </w:r>
          </w:p>
        </w:tc>
        <w:tc>
          <w:tcPr>
            <w:tcW w:w="5905" w:type="dxa"/>
            <w:tcBorders>
              <w:top w:val="nil"/>
              <w:left w:val="nil"/>
              <w:bottom w:val="single" w:sz="12" w:space="0" w:color="auto"/>
              <w:right w:val="single" w:sz="12" w:space="0" w:color="auto"/>
            </w:tcBorders>
          </w:tcPr>
          <w:p w:rsidR="009C2DA1" w:rsidRDefault="00325496" w:rsidP="009C2DA1">
            <w:pPr>
              <w:pStyle w:val="Title"/>
              <w:jc w:val="both"/>
              <w:rPr>
                <w:b w:val="0"/>
                <w:bCs w:val="0"/>
              </w:rPr>
            </w:pPr>
            <w:r>
              <w:rPr>
                <w:b w:val="0"/>
                <w:bCs w:val="0"/>
              </w:rPr>
              <w:t xml:space="preserve">2008 </w:t>
            </w:r>
            <w:r w:rsidR="009C2DA1">
              <w:rPr>
                <w:b w:val="0"/>
                <w:bCs w:val="0"/>
              </w:rPr>
              <w:t xml:space="preserve">Reformer Ultra Low-NOx Burner Replacement </w:t>
            </w:r>
            <w:r w:rsidR="00A061C0" w:rsidRPr="00A061C0">
              <w:rPr>
                <w:b w:val="0"/>
                <w:bCs w:val="0"/>
                <w:vertAlign w:val="superscript"/>
              </w:rPr>
              <w:t>2</w:t>
            </w:r>
            <w:r>
              <w:rPr>
                <w:b w:val="0"/>
                <w:bCs w:val="0"/>
                <w:vertAlign w:val="superscript"/>
              </w:rPr>
              <w:t>,3,4</w:t>
            </w:r>
          </w:p>
        </w:tc>
        <w:tc>
          <w:tcPr>
            <w:tcW w:w="1863" w:type="dxa"/>
            <w:tcBorders>
              <w:top w:val="nil"/>
              <w:left w:val="single" w:sz="12" w:space="0" w:color="auto"/>
              <w:bottom w:val="single" w:sz="12" w:space="0" w:color="auto"/>
              <w:right w:val="single" w:sz="12" w:space="0" w:color="auto"/>
            </w:tcBorders>
          </w:tcPr>
          <w:p w:rsidR="009C2DA1" w:rsidRDefault="008552A0" w:rsidP="008552A0">
            <w:pPr>
              <w:pStyle w:val="Title"/>
              <w:rPr>
                <w:b w:val="0"/>
                <w:bCs w:val="0"/>
              </w:rPr>
            </w:pPr>
            <w:r>
              <w:rPr>
                <w:b w:val="0"/>
                <w:bCs w:val="0"/>
              </w:rPr>
              <w:t xml:space="preserve">- </w:t>
            </w:r>
            <w:r w:rsidR="009C2DA1">
              <w:rPr>
                <w:b w:val="0"/>
                <w:bCs w:val="0"/>
              </w:rPr>
              <w:t>291.20</w:t>
            </w:r>
          </w:p>
        </w:tc>
      </w:tr>
      <w:tr w:rsidR="008552A0" w:rsidTr="00EB75B4">
        <w:trPr>
          <w:trHeight w:val="393"/>
        </w:trPr>
        <w:tc>
          <w:tcPr>
            <w:tcW w:w="1406" w:type="dxa"/>
            <w:tcBorders>
              <w:top w:val="single" w:sz="12" w:space="0" w:color="auto"/>
              <w:left w:val="single" w:sz="12" w:space="0" w:color="auto"/>
              <w:bottom w:val="nil"/>
              <w:right w:val="nil"/>
            </w:tcBorders>
          </w:tcPr>
          <w:p w:rsidR="008552A0" w:rsidRDefault="008552A0">
            <w:pPr>
              <w:pStyle w:val="Title"/>
              <w:jc w:val="both"/>
              <w:rPr>
                <w:b w:val="0"/>
                <w:bCs w:val="0"/>
              </w:rPr>
            </w:pPr>
          </w:p>
        </w:tc>
        <w:tc>
          <w:tcPr>
            <w:tcW w:w="5905" w:type="dxa"/>
            <w:tcBorders>
              <w:top w:val="single" w:sz="12" w:space="0" w:color="auto"/>
              <w:left w:val="nil"/>
              <w:bottom w:val="nil"/>
              <w:right w:val="single" w:sz="12" w:space="0" w:color="auto"/>
            </w:tcBorders>
            <w:vAlign w:val="center"/>
          </w:tcPr>
          <w:p w:rsidR="008552A0" w:rsidRDefault="008552A0" w:rsidP="00EB75B4">
            <w:pPr>
              <w:pStyle w:val="Title"/>
              <w:jc w:val="right"/>
              <w:rPr>
                <w:b w:val="0"/>
                <w:bCs w:val="0"/>
              </w:rPr>
            </w:pPr>
            <w:r>
              <w:rPr>
                <w:b w:val="0"/>
                <w:bCs w:val="0"/>
              </w:rPr>
              <w:t>Project Net Emissions Increase</w:t>
            </w:r>
          </w:p>
        </w:tc>
        <w:tc>
          <w:tcPr>
            <w:tcW w:w="1863" w:type="dxa"/>
            <w:tcBorders>
              <w:top w:val="single" w:sz="12" w:space="0" w:color="auto"/>
              <w:left w:val="single" w:sz="12" w:space="0" w:color="auto"/>
              <w:bottom w:val="nil"/>
              <w:right w:val="single" w:sz="12" w:space="0" w:color="auto"/>
            </w:tcBorders>
            <w:vAlign w:val="center"/>
          </w:tcPr>
          <w:p w:rsidR="008552A0" w:rsidRDefault="008552A0" w:rsidP="00EB75B4">
            <w:pPr>
              <w:pStyle w:val="Title"/>
              <w:rPr>
                <w:b w:val="0"/>
                <w:bCs w:val="0"/>
              </w:rPr>
            </w:pPr>
            <w:r>
              <w:rPr>
                <w:b w:val="0"/>
                <w:bCs w:val="0"/>
              </w:rPr>
              <w:t>- 46.31</w:t>
            </w:r>
          </w:p>
        </w:tc>
      </w:tr>
      <w:tr w:rsidR="009C2DA1" w:rsidTr="00EB75B4">
        <w:trPr>
          <w:trHeight w:val="360"/>
        </w:trPr>
        <w:tc>
          <w:tcPr>
            <w:tcW w:w="1406" w:type="dxa"/>
            <w:tcBorders>
              <w:top w:val="nil"/>
              <w:left w:val="single" w:sz="12" w:space="0" w:color="auto"/>
              <w:bottom w:val="nil"/>
              <w:right w:val="nil"/>
            </w:tcBorders>
          </w:tcPr>
          <w:p w:rsidR="009C2DA1" w:rsidRDefault="009C2DA1">
            <w:pPr>
              <w:pStyle w:val="Title"/>
              <w:jc w:val="both"/>
              <w:rPr>
                <w:b w:val="0"/>
                <w:bCs w:val="0"/>
              </w:rPr>
            </w:pPr>
          </w:p>
        </w:tc>
        <w:tc>
          <w:tcPr>
            <w:tcW w:w="5905" w:type="dxa"/>
            <w:tcBorders>
              <w:top w:val="nil"/>
              <w:left w:val="nil"/>
              <w:bottom w:val="nil"/>
              <w:right w:val="single" w:sz="12" w:space="0" w:color="auto"/>
            </w:tcBorders>
            <w:vAlign w:val="center"/>
          </w:tcPr>
          <w:p w:rsidR="009C2DA1" w:rsidRDefault="009C2DA1" w:rsidP="00EB75B4">
            <w:pPr>
              <w:pStyle w:val="Title"/>
              <w:jc w:val="right"/>
              <w:rPr>
                <w:b w:val="0"/>
                <w:bCs w:val="0"/>
              </w:rPr>
            </w:pPr>
            <w:r>
              <w:rPr>
                <w:b w:val="0"/>
                <w:bCs w:val="0"/>
              </w:rPr>
              <w:t>PSD NOx Significance Threshold</w:t>
            </w:r>
          </w:p>
        </w:tc>
        <w:tc>
          <w:tcPr>
            <w:tcW w:w="1863" w:type="dxa"/>
            <w:tcBorders>
              <w:top w:val="nil"/>
              <w:left w:val="single" w:sz="12" w:space="0" w:color="auto"/>
              <w:bottom w:val="nil"/>
              <w:right w:val="single" w:sz="12" w:space="0" w:color="auto"/>
            </w:tcBorders>
            <w:vAlign w:val="center"/>
          </w:tcPr>
          <w:p w:rsidR="009C2DA1" w:rsidRDefault="008552A0" w:rsidP="00EB75B4">
            <w:pPr>
              <w:pStyle w:val="Title"/>
              <w:rPr>
                <w:b w:val="0"/>
                <w:bCs w:val="0"/>
              </w:rPr>
            </w:pPr>
            <w:r>
              <w:rPr>
                <w:b w:val="0"/>
                <w:bCs w:val="0"/>
              </w:rPr>
              <w:t>40</w:t>
            </w:r>
          </w:p>
        </w:tc>
      </w:tr>
      <w:tr w:rsidR="009C2DA1" w:rsidTr="00EB75B4">
        <w:trPr>
          <w:trHeight w:val="360"/>
        </w:trPr>
        <w:tc>
          <w:tcPr>
            <w:tcW w:w="1406" w:type="dxa"/>
            <w:tcBorders>
              <w:top w:val="nil"/>
              <w:left w:val="single" w:sz="12" w:space="0" w:color="auto"/>
              <w:bottom w:val="single" w:sz="12" w:space="0" w:color="auto"/>
              <w:right w:val="nil"/>
            </w:tcBorders>
          </w:tcPr>
          <w:p w:rsidR="009C2DA1" w:rsidRDefault="009C2DA1">
            <w:pPr>
              <w:pStyle w:val="Title"/>
              <w:jc w:val="both"/>
              <w:rPr>
                <w:b w:val="0"/>
                <w:bCs w:val="0"/>
              </w:rPr>
            </w:pPr>
          </w:p>
        </w:tc>
        <w:tc>
          <w:tcPr>
            <w:tcW w:w="5905" w:type="dxa"/>
            <w:tcBorders>
              <w:top w:val="nil"/>
              <w:left w:val="nil"/>
              <w:bottom w:val="single" w:sz="12" w:space="0" w:color="auto"/>
              <w:right w:val="single" w:sz="12" w:space="0" w:color="auto"/>
            </w:tcBorders>
            <w:vAlign w:val="center"/>
          </w:tcPr>
          <w:p w:rsidR="009C2DA1" w:rsidRDefault="009C2DA1" w:rsidP="00EB75B4">
            <w:pPr>
              <w:pStyle w:val="Title"/>
              <w:jc w:val="right"/>
              <w:rPr>
                <w:b w:val="0"/>
                <w:bCs w:val="0"/>
              </w:rPr>
            </w:pPr>
            <w:r>
              <w:rPr>
                <w:b w:val="0"/>
                <w:bCs w:val="0"/>
              </w:rPr>
              <w:t>PSD Review Required (Yes/No)?</w:t>
            </w:r>
          </w:p>
        </w:tc>
        <w:tc>
          <w:tcPr>
            <w:tcW w:w="1863" w:type="dxa"/>
            <w:tcBorders>
              <w:top w:val="nil"/>
              <w:left w:val="single" w:sz="12" w:space="0" w:color="auto"/>
              <w:bottom w:val="single" w:sz="12" w:space="0" w:color="auto"/>
              <w:right w:val="single" w:sz="12" w:space="0" w:color="auto"/>
            </w:tcBorders>
            <w:vAlign w:val="center"/>
          </w:tcPr>
          <w:p w:rsidR="009C2DA1" w:rsidRDefault="008552A0" w:rsidP="00EB75B4">
            <w:pPr>
              <w:pStyle w:val="Title"/>
              <w:rPr>
                <w:b w:val="0"/>
                <w:bCs w:val="0"/>
              </w:rPr>
            </w:pPr>
            <w:r>
              <w:rPr>
                <w:b w:val="0"/>
                <w:bCs w:val="0"/>
              </w:rPr>
              <w:t>No</w:t>
            </w:r>
          </w:p>
        </w:tc>
      </w:tr>
    </w:tbl>
    <w:p w:rsidR="009C2DA1" w:rsidRDefault="009C2DA1">
      <w:pPr>
        <w:pStyle w:val="Title"/>
        <w:jc w:val="both"/>
        <w:rPr>
          <w:b w:val="0"/>
          <w:bCs w:val="0"/>
        </w:rPr>
      </w:pPr>
    </w:p>
    <w:p w:rsidR="00A061C0" w:rsidRPr="00D41D5B" w:rsidRDefault="00A061C0" w:rsidP="00325496">
      <w:pPr>
        <w:pStyle w:val="Title"/>
        <w:ind w:right="270" w:hanging="90"/>
        <w:jc w:val="both"/>
        <w:rPr>
          <w:b w:val="0"/>
          <w:bCs w:val="0"/>
          <w:sz w:val="18"/>
          <w:szCs w:val="18"/>
        </w:rPr>
      </w:pPr>
      <w:r w:rsidRPr="00D41D5B">
        <w:rPr>
          <w:b w:val="0"/>
          <w:bCs w:val="0"/>
          <w:sz w:val="18"/>
          <w:szCs w:val="18"/>
          <w:vertAlign w:val="superscript"/>
        </w:rPr>
        <w:t>1</w:t>
      </w:r>
      <w:r w:rsidRPr="00D41D5B">
        <w:rPr>
          <w:b w:val="0"/>
          <w:bCs w:val="0"/>
          <w:sz w:val="18"/>
          <w:szCs w:val="18"/>
        </w:rPr>
        <w:t xml:space="preserve"> </w:t>
      </w:r>
      <w:r w:rsidRPr="00D41D5B">
        <w:rPr>
          <w:b w:val="0"/>
          <w:sz w:val="18"/>
          <w:szCs w:val="18"/>
        </w:rPr>
        <w:t xml:space="preserve">40 CFR 52.21(b)(3) defines the contemporaneous period to begin the date five (5) years before construction commences and ends the date the increase from the particular change occurs.  The 2012 Turnaround was scheduled to begin October 1, 2012 and Terra certified completion of construction on October 29, 2012.  Accordingly, the contemporaneous period for the </w:t>
      </w:r>
      <w:r w:rsidR="007F54B3">
        <w:rPr>
          <w:b w:val="0"/>
          <w:sz w:val="18"/>
          <w:szCs w:val="18"/>
        </w:rPr>
        <w:t>2012 Ammonia Plant Turnaround Projects</w:t>
      </w:r>
      <w:r w:rsidRPr="00D41D5B">
        <w:rPr>
          <w:b w:val="0"/>
          <w:sz w:val="18"/>
          <w:szCs w:val="18"/>
        </w:rPr>
        <w:t xml:space="preserve"> </w:t>
      </w:r>
      <w:r w:rsidR="00E573F1">
        <w:rPr>
          <w:b w:val="0"/>
          <w:sz w:val="18"/>
          <w:szCs w:val="18"/>
        </w:rPr>
        <w:t xml:space="preserve">is </w:t>
      </w:r>
      <w:r w:rsidRPr="00D41D5B">
        <w:rPr>
          <w:b w:val="0"/>
          <w:sz w:val="18"/>
          <w:szCs w:val="18"/>
        </w:rPr>
        <w:t>October 1, 2007 through October 29, 2012.</w:t>
      </w:r>
    </w:p>
    <w:p w:rsidR="009C2DA1" w:rsidRPr="00D41D5B" w:rsidRDefault="009F18D7" w:rsidP="00711A1C">
      <w:pPr>
        <w:pStyle w:val="Title"/>
        <w:ind w:right="270" w:hanging="90"/>
        <w:jc w:val="both"/>
        <w:rPr>
          <w:b w:val="0"/>
          <w:bCs w:val="0"/>
          <w:sz w:val="18"/>
          <w:szCs w:val="18"/>
        </w:rPr>
      </w:pPr>
      <w:r w:rsidRPr="00D41D5B">
        <w:rPr>
          <w:b w:val="0"/>
          <w:bCs w:val="0"/>
          <w:sz w:val="18"/>
          <w:szCs w:val="18"/>
          <w:vertAlign w:val="superscript"/>
        </w:rPr>
        <w:t xml:space="preserve">2 </w:t>
      </w:r>
      <w:r w:rsidRPr="00D41D5B">
        <w:rPr>
          <w:b w:val="0"/>
          <w:bCs w:val="0"/>
          <w:sz w:val="18"/>
          <w:szCs w:val="18"/>
        </w:rPr>
        <w:t xml:space="preserve">The </w:t>
      </w:r>
      <w:r w:rsidR="00325496" w:rsidRPr="00D41D5B">
        <w:rPr>
          <w:b w:val="0"/>
          <w:bCs w:val="0"/>
          <w:sz w:val="18"/>
          <w:szCs w:val="18"/>
        </w:rPr>
        <w:t xml:space="preserve">2008 </w:t>
      </w:r>
      <w:r w:rsidRPr="00D41D5B">
        <w:rPr>
          <w:b w:val="0"/>
          <w:bCs w:val="0"/>
          <w:sz w:val="18"/>
          <w:szCs w:val="18"/>
        </w:rPr>
        <w:t xml:space="preserve">Reformer Ultra Low-NOx Burner Replacement Project consisted of </w:t>
      </w:r>
      <w:r w:rsidR="00151760" w:rsidRPr="00D41D5B">
        <w:rPr>
          <w:b w:val="0"/>
          <w:bCs w:val="0"/>
          <w:sz w:val="18"/>
          <w:szCs w:val="18"/>
        </w:rPr>
        <w:t>replacing 180 existing</w:t>
      </w:r>
      <w:r w:rsidR="00C95FA4" w:rsidRPr="00D41D5B">
        <w:rPr>
          <w:b w:val="0"/>
          <w:bCs w:val="0"/>
          <w:sz w:val="18"/>
          <w:szCs w:val="18"/>
        </w:rPr>
        <w:t xml:space="preserve"> burners in the arch and tunnel sections of the Reformer (rated at 3 </w:t>
      </w:r>
      <w:r w:rsidR="00D80A57" w:rsidRPr="00D41D5B">
        <w:rPr>
          <w:b w:val="0"/>
          <w:bCs w:val="0"/>
          <w:sz w:val="18"/>
          <w:szCs w:val="18"/>
        </w:rPr>
        <w:t>MMBtu</w:t>
      </w:r>
      <w:r w:rsidR="00C95FA4" w:rsidRPr="00D41D5B">
        <w:rPr>
          <w:b w:val="0"/>
          <w:bCs w:val="0"/>
          <w:sz w:val="18"/>
          <w:szCs w:val="18"/>
        </w:rPr>
        <w:t xml:space="preserve">/hr each) with 180 new ultra low-NOx burners (rated at 4 </w:t>
      </w:r>
      <w:r w:rsidR="00D80A57" w:rsidRPr="00D41D5B">
        <w:rPr>
          <w:b w:val="0"/>
          <w:bCs w:val="0"/>
          <w:sz w:val="18"/>
          <w:szCs w:val="18"/>
        </w:rPr>
        <w:t>MMBtu</w:t>
      </w:r>
      <w:r w:rsidR="00C95FA4" w:rsidRPr="00D41D5B">
        <w:rPr>
          <w:b w:val="0"/>
          <w:bCs w:val="0"/>
          <w:sz w:val="18"/>
          <w:szCs w:val="18"/>
        </w:rPr>
        <w:t xml:space="preserve">/hr each).  </w:t>
      </w:r>
      <w:r w:rsidR="00151760" w:rsidRPr="00D41D5B">
        <w:rPr>
          <w:b w:val="0"/>
          <w:bCs w:val="0"/>
          <w:sz w:val="18"/>
          <w:szCs w:val="18"/>
        </w:rPr>
        <w:t xml:space="preserve"> </w:t>
      </w:r>
      <w:r w:rsidR="00D80A57" w:rsidRPr="00D41D5B">
        <w:rPr>
          <w:b w:val="0"/>
          <w:bCs w:val="0"/>
          <w:sz w:val="18"/>
          <w:szCs w:val="18"/>
        </w:rPr>
        <w:t>Although the project resulted in a 33% increase in design heat input capacity, the project resulted in a net NOx emissions decrease based on the burner manufacturer’s NOx emission performance guarantee of 0.04 lb/MMBtu vs the pre-project emission rate of 0.27 lb/MMBtu</w:t>
      </w:r>
      <w:r w:rsidR="00BB43A6">
        <w:rPr>
          <w:b w:val="0"/>
          <w:bCs w:val="0"/>
          <w:sz w:val="18"/>
          <w:szCs w:val="18"/>
        </w:rPr>
        <w:t xml:space="preserve"> </w:t>
      </w:r>
      <w:r w:rsidR="00BB43A6" w:rsidRPr="00D41D5B">
        <w:rPr>
          <w:b w:val="0"/>
          <w:bCs w:val="0"/>
          <w:sz w:val="18"/>
          <w:szCs w:val="18"/>
        </w:rPr>
        <w:t>(ref. AP-42, Table 1.4-1)</w:t>
      </w:r>
      <w:r w:rsidR="00A26355">
        <w:rPr>
          <w:b w:val="0"/>
          <w:bCs w:val="0"/>
          <w:sz w:val="18"/>
          <w:szCs w:val="18"/>
        </w:rPr>
        <w:t>, which corresponds to an 85% reduction in the mass emissions per unit of heat input</w:t>
      </w:r>
      <w:r w:rsidR="00D80A57" w:rsidRPr="00D41D5B">
        <w:rPr>
          <w:b w:val="0"/>
          <w:bCs w:val="0"/>
          <w:sz w:val="18"/>
          <w:szCs w:val="18"/>
        </w:rPr>
        <w:t xml:space="preserve">. </w:t>
      </w:r>
    </w:p>
    <w:p w:rsidR="00325496" w:rsidRPr="00D41D5B" w:rsidRDefault="00325496" w:rsidP="00711A1C">
      <w:pPr>
        <w:pStyle w:val="Title"/>
        <w:ind w:right="270" w:hanging="90"/>
        <w:jc w:val="both"/>
        <w:rPr>
          <w:b w:val="0"/>
          <w:bCs w:val="0"/>
          <w:sz w:val="18"/>
          <w:szCs w:val="18"/>
        </w:rPr>
      </w:pPr>
      <w:r w:rsidRPr="00D41D5B">
        <w:rPr>
          <w:b w:val="0"/>
          <w:bCs w:val="0"/>
          <w:sz w:val="18"/>
          <w:szCs w:val="18"/>
          <w:vertAlign w:val="superscript"/>
        </w:rPr>
        <w:t xml:space="preserve">3 </w:t>
      </w:r>
      <w:r w:rsidRPr="00D41D5B">
        <w:rPr>
          <w:b w:val="0"/>
          <w:bCs w:val="0"/>
          <w:sz w:val="18"/>
          <w:szCs w:val="18"/>
        </w:rPr>
        <w:t xml:space="preserve">The NOx emission decrease for the 2008 Reformer Ultra Low-NOx Burner Replacement Project was determined based on </w:t>
      </w:r>
      <w:r w:rsidR="00A26355">
        <w:rPr>
          <w:b w:val="0"/>
          <w:bCs w:val="0"/>
          <w:sz w:val="18"/>
          <w:szCs w:val="18"/>
        </w:rPr>
        <w:t xml:space="preserve">a </w:t>
      </w:r>
      <w:r w:rsidRPr="00D41D5B">
        <w:rPr>
          <w:b w:val="0"/>
          <w:bCs w:val="0"/>
          <w:sz w:val="18"/>
          <w:szCs w:val="18"/>
        </w:rPr>
        <w:t xml:space="preserve">comparison of pre-project baseline actual emissions (occurring between January 1, 2004 and December 31, 2005) and post-project potential emissions.  </w:t>
      </w:r>
      <w:r w:rsidR="001A6AB2">
        <w:rPr>
          <w:b w:val="0"/>
          <w:bCs w:val="0"/>
          <w:sz w:val="18"/>
          <w:szCs w:val="18"/>
        </w:rPr>
        <w:t>CF revised t</w:t>
      </w:r>
      <w:r w:rsidRPr="00D41D5B">
        <w:rPr>
          <w:b w:val="0"/>
          <w:bCs w:val="0"/>
          <w:sz w:val="18"/>
          <w:szCs w:val="18"/>
        </w:rPr>
        <w:t xml:space="preserve">he original 2008 PSD applicability </w:t>
      </w:r>
      <w:r w:rsidR="004172B3">
        <w:rPr>
          <w:b w:val="0"/>
          <w:bCs w:val="0"/>
          <w:sz w:val="18"/>
          <w:szCs w:val="18"/>
        </w:rPr>
        <w:t>determination</w:t>
      </w:r>
      <w:r w:rsidRPr="00D41D5B">
        <w:rPr>
          <w:b w:val="0"/>
          <w:bCs w:val="0"/>
          <w:sz w:val="18"/>
          <w:szCs w:val="18"/>
        </w:rPr>
        <w:t xml:space="preserve"> </w:t>
      </w:r>
      <w:r w:rsidR="001A6AB2">
        <w:rPr>
          <w:b w:val="0"/>
          <w:bCs w:val="0"/>
          <w:sz w:val="18"/>
          <w:szCs w:val="18"/>
        </w:rPr>
        <w:t>for the burner replacement</w:t>
      </w:r>
      <w:r w:rsidRPr="00D41D5B">
        <w:rPr>
          <w:b w:val="0"/>
          <w:bCs w:val="0"/>
          <w:sz w:val="18"/>
          <w:szCs w:val="18"/>
        </w:rPr>
        <w:t xml:space="preserve"> to be consistent with the calculation methodology utilized in the </w:t>
      </w:r>
      <w:r w:rsidR="007F54B3">
        <w:rPr>
          <w:b w:val="0"/>
          <w:bCs w:val="0"/>
          <w:sz w:val="18"/>
          <w:szCs w:val="18"/>
        </w:rPr>
        <w:t>2012 Ammonia Plant Turnaround Projects</w:t>
      </w:r>
      <w:r w:rsidRPr="00D41D5B">
        <w:rPr>
          <w:b w:val="0"/>
          <w:bCs w:val="0"/>
          <w:sz w:val="18"/>
          <w:szCs w:val="18"/>
        </w:rPr>
        <w:t xml:space="preserve"> analysis and to </w:t>
      </w:r>
      <w:r w:rsidR="001A6AB2">
        <w:rPr>
          <w:b w:val="0"/>
          <w:bCs w:val="0"/>
          <w:sz w:val="18"/>
          <w:szCs w:val="18"/>
        </w:rPr>
        <w:t>incorporate emissions from the firing</w:t>
      </w:r>
      <w:r w:rsidRPr="00D41D5B">
        <w:rPr>
          <w:b w:val="0"/>
          <w:bCs w:val="0"/>
          <w:sz w:val="18"/>
          <w:szCs w:val="18"/>
        </w:rPr>
        <w:t xml:space="preserve"> of low pressure purge gas.  A copy of the revised analysis</w:t>
      </w:r>
      <w:r w:rsidR="008C449B">
        <w:rPr>
          <w:b w:val="0"/>
          <w:bCs w:val="0"/>
          <w:sz w:val="18"/>
          <w:szCs w:val="18"/>
        </w:rPr>
        <w:t>, documenting the NOx emissions decrease associated with the burner replacement,</w:t>
      </w:r>
      <w:r w:rsidRPr="00D41D5B">
        <w:rPr>
          <w:b w:val="0"/>
          <w:bCs w:val="0"/>
          <w:sz w:val="18"/>
          <w:szCs w:val="18"/>
        </w:rPr>
        <w:t xml:space="preserve"> is included </w:t>
      </w:r>
      <w:r w:rsidR="00A26355">
        <w:rPr>
          <w:b w:val="0"/>
          <w:bCs w:val="0"/>
          <w:sz w:val="18"/>
          <w:szCs w:val="18"/>
        </w:rPr>
        <w:t xml:space="preserve">herein </w:t>
      </w:r>
      <w:r w:rsidRPr="00D41D5B">
        <w:rPr>
          <w:b w:val="0"/>
          <w:bCs w:val="0"/>
          <w:sz w:val="18"/>
          <w:szCs w:val="18"/>
        </w:rPr>
        <w:t>as Attachment A.</w:t>
      </w:r>
    </w:p>
    <w:p w:rsidR="00151760" w:rsidRPr="00234719" w:rsidRDefault="00325496" w:rsidP="00711A1C">
      <w:pPr>
        <w:pStyle w:val="Title"/>
        <w:ind w:right="270" w:hanging="90"/>
        <w:jc w:val="both"/>
        <w:rPr>
          <w:b w:val="0"/>
          <w:bCs w:val="0"/>
          <w:sz w:val="16"/>
          <w:szCs w:val="16"/>
        </w:rPr>
      </w:pPr>
      <w:r w:rsidRPr="00D41D5B">
        <w:rPr>
          <w:b w:val="0"/>
          <w:bCs w:val="0"/>
          <w:sz w:val="18"/>
          <w:szCs w:val="18"/>
          <w:vertAlign w:val="superscript"/>
        </w:rPr>
        <w:t>4</w:t>
      </w:r>
      <w:r w:rsidR="00151760" w:rsidRPr="00D41D5B">
        <w:rPr>
          <w:b w:val="0"/>
          <w:bCs w:val="0"/>
          <w:sz w:val="18"/>
          <w:szCs w:val="18"/>
        </w:rPr>
        <w:t xml:space="preserve"> </w:t>
      </w:r>
      <w:r w:rsidR="00234719" w:rsidRPr="00D41D5B">
        <w:rPr>
          <w:b w:val="0"/>
          <w:bCs w:val="0"/>
          <w:sz w:val="18"/>
          <w:szCs w:val="18"/>
        </w:rPr>
        <w:t>Since the 2008 Reformer Ultra Low-NOx Burner Replacement Project resulted in a net emissions decrease, the requirement to obtain an air construction permit was not triggered.  Therefore, the facility’s Title V Operating Permit was modified, via a significant modification, to make the modification federally enforceable.</w:t>
      </w:r>
    </w:p>
    <w:p w:rsidR="006362E3" w:rsidRDefault="006362E3">
      <w:pPr>
        <w:pStyle w:val="Title"/>
        <w:jc w:val="both"/>
        <w:rPr>
          <w:b w:val="0"/>
          <w:bCs w:val="0"/>
        </w:rPr>
      </w:pPr>
    </w:p>
    <w:p w:rsidR="004F1F0D" w:rsidRDefault="004F1F0D">
      <w:pPr>
        <w:spacing w:line="240" w:lineRule="atLeast"/>
        <w:rPr>
          <w:rFonts w:ascii="Tms Rmn" w:hAnsi="Tms Rmn" w:cs="Tms Rmn"/>
          <w:b/>
          <w:bCs/>
          <w:color w:val="000000"/>
          <w:u w:val="single"/>
        </w:rPr>
      </w:pPr>
      <w:r>
        <w:rPr>
          <w:rFonts w:ascii="Tms Rmn" w:hAnsi="Tms Rmn" w:cs="Tms Rmn"/>
          <w:b/>
          <w:bCs/>
          <w:color w:val="000000"/>
          <w:u w:val="single"/>
        </w:rPr>
        <w:t>PUBLIC PARTICIPATION</w:t>
      </w:r>
    </w:p>
    <w:p w:rsidR="004F1F0D" w:rsidRDefault="004F1F0D">
      <w:pPr>
        <w:spacing w:line="240" w:lineRule="atLeast"/>
        <w:rPr>
          <w:rFonts w:ascii="Tms Rmn" w:hAnsi="Tms Rmn" w:cs="Tms Rmn"/>
          <w:b/>
          <w:bCs/>
          <w:color w:val="000000"/>
          <w:u w:val="single"/>
        </w:rPr>
      </w:pPr>
    </w:p>
    <w:p w:rsidR="004F1F0D" w:rsidRDefault="004F1F0D">
      <w:pPr>
        <w:pStyle w:val="BodyText2"/>
      </w:pPr>
      <w:r>
        <w:t xml:space="preserve">The 30-day public notice period began on </w:t>
      </w:r>
      <w:r w:rsidR="00C509EF">
        <w:t>July 11, 2016</w:t>
      </w:r>
      <w:r>
        <w:t xml:space="preserve">, with the publication of a notice in the </w:t>
      </w:r>
      <w:r w:rsidR="00C509EF">
        <w:t>Clarion Ledger</w:t>
      </w:r>
      <w:r>
        <w:t xml:space="preserve"> and ends </w:t>
      </w:r>
      <w:r w:rsidR="00C509EF">
        <w:t>August 10, 2016</w:t>
      </w:r>
      <w:r>
        <w:t>.</w:t>
      </w:r>
    </w:p>
    <w:p w:rsidR="004F1F0D" w:rsidRDefault="004F1F0D">
      <w:pPr>
        <w:spacing w:line="240" w:lineRule="atLeast"/>
        <w:rPr>
          <w:rFonts w:ascii="Tms Rmn" w:hAnsi="Tms Rmn" w:cs="Tms Rmn"/>
          <w:color w:val="000000"/>
        </w:rPr>
      </w:pPr>
    </w:p>
    <w:p w:rsidR="004F1F0D" w:rsidRDefault="004F1F0D">
      <w:pPr>
        <w:spacing w:line="240" w:lineRule="atLeast"/>
        <w:rPr>
          <w:rFonts w:ascii="Tms Rmn" w:hAnsi="Tms Rmn" w:cs="Tms Rmn"/>
          <w:b/>
          <w:bCs/>
          <w:color w:val="000000"/>
          <w:u w:val="single"/>
        </w:rPr>
      </w:pPr>
      <w:r>
        <w:rPr>
          <w:rFonts w:ascii="Tms Rmn" w:hAnsi="Tms Rmn" w:cs="Tms Rmn"/>
          <w:b/>
          <w:bCs/>
          <w:color w:val="000000"/>
          <w:u w:val="single"/>
        </w:rPr>
        <w:t>RECOMMENDATION</w:t>
      </w:r>
    </w:p>
    <w:p w:rsidR="004F1F0D" w:rsidRDefault="004F1F0D">
      <w:pPr>
        <w:spacing w:line="240" w:lineRule="atLeast"/>
        <w:rPr>
          <w:rFonts w:ascii="Tms Rmn" w:hAnsi="Tms Rmn" w:cs="Tms Rmn"/>
          <w:b/>
          <w:bCs/>
          <w:color w:val="000000"/>
          <w:u w:val="single"/>
        </w:rPr>
      </w:pPr>
    </w:p>
    <w:p w:rsidR="004F1F0D" w:rsidRDefault="004F1F0D">
      <w:pPr>
        <w:pStyle w:val="Title"/>
        <w:jc w:val="both"/>
        <w:rPr>
          <w:rFonts w:ascii="Tms Rmn" w:hAnsi="Tms Rmn" w:cs="Tms Rmn"/>
          <w:b w:val="0"/>
          <w:bCs w:val="0"/>
          <w:snapToGrid w:val="0"/>
          <w:color w:val="000000"/>
        </w:rPr>
      </w:pPr>
      <w:r>
        <w:rPr>
          <w:rFonts w:ascii="Tms Rmn" w:hAnsi="Tms Rmn" w:cs="Tms Rmn"/>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p w:rsidR="004F1F0D" w:rsidRDefault="004F1F0D">
      <w:pPr>
        <w:pStyle w:val="Title"/>
        <w:jc w:val="both"/>
        <w:rPr>
          <w:rFonts w:ascii="Tms Rmn" w:hAnsi="Tms Rmn" w:cs="Tms Rmn"/>
          <w:b w:val="0"/>
          <w:bCs w:val="0"/>
          <w:snapToGrid w:val="0"/>
          <w:color w:val="000000"/>
        </w:rPr>
      </w:pPr>
    </w:p>
    <w:p w:rsidR="004172B3" w:rsidRDefault="004172B3">
      <w:pPr>
        <w:widowControl/>
        <w:autoSpaceDE/>
        <w:autoSpaceDN/>
        <w:rPr>
          <w:rFonts w:ascii="Tms Rmn" w:hAnsi="Tms Rmn" w:cs="Tms Rmn"/>
          <w:snapToGrid w:val="0"/>
          <w:color w:val="000000"/>
        </w:rPr>
      </w:pPr>
      <w:r>
        <w:rPr>
          <w:rFonts w:ascii="Tms Rmn" w:hAnsi="Tms Rmn" w:cs="Tms Rmn"/>
          <w:b/>
          <w:bCs/>
          <w:snapToGrid w:val="0"/>
          <w:color w:val="000000"/>
        </w:rPr>
        <w:br w:type="page"/>
      </w: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pPr>
        <w:pStyle w:val="Title"/>
        <w:jc w:val="both"/>
        <w:rPr>
          <w:rFonts w:ascii="Tms Rmn" w:hAnsi="Tms Rmn" w:cs="Tms Rmn"/>
          <w:b w:val="0"/>
          <w:bCs w:val="0"/>
          <w:snapToGrid w:val="0"/>
          <w:color w:val="000000"/>
        </w:rPr>
      </w:pPr>
    </w:p>
    <w:p w:rsidR="004172B3" w:rsidRDefault="004172B3" w:rsidP="004172B3">
      <w:pPr>
        <w:pStyle w:val="Title"/>
        <w:rPr>
          <w:rFonts w:ascii="Tms Rmn" w:hAnsi="Tms Rmn" w:cs="Tms Rmn"/>
          <w:bCs w:val="0"/>
          <w:snapToGrid w:val="0"/>
          <w:color w:val="000000"/>
        </w:rPr>
      </w:pPr>
      <w:r>
        <w:rPr>
          <w:rFonts w:ascii="Tms Rmn" w:hAnsi="Tms Rmn" w:cs="Tms Rmn"/>
          <w:bCs w:val="0"/>
          <w:snapToGrid w:val="0"/>
          <w:color w:val="000000"/>
        </w:rPr>
        <w:t>ATTACHMENT A</w:t>
      </w:r>
    </w:p>
    <w:p w:rsidR="004172B3" w:rsidRDefault="004172B3" w:rsidP="004172B3">
      <w:pPr>
        <w:pStyle w:val="Title"/>
        <w:rPr>
          <w:rFonts w:ascii="Tms Rmn" w:hAnsi="Tms Rmn" w:cs="Tms Rmn"/>
          <w:bCs w:val="0"/>
          <w:snapToGrid w:val="0"/>
          <w:color w:val="000000"/>
        </w:rPr>
      </w:pPr>
    </w:p>
    <w:p w:rsidR="004172B3" w:rsidRDefault="004172B3" w:rsidP="004172B3">
      <w:pPr>
        <w:pStyle w:val="Title"/>
        <w:rPr>
          <w:rFonts w:ascii="Tms Rmn" w:hAnsi="Tms Rmn" w:cs="Tms Rmn"/>
          <w:bCs w:val="0"/>
          <w:snapToGrid w:val="0"/>
          <w:color w:val="000000"/>
        </w:rPr>
      </w:pPr>
    </w:p>
    <w:p w:rsidR="004172B3" w:rsidRDefault="004172B3" w:rsidP="004172B3">
      <w:pPr>
        <w:pStyle w:val="Title"/>
        <w:rPr>
          <w:rFonts w:ascii="Tms Rmn" w:hAnsi="Tms Rmn" w:cs="Tms Rmn"/>
          <w:bCs w:val="0"/>
          <w:snapToGrid w:val="0"/>
          <w:color w:val="000000"/>
        </w:rPr>
      </w:pPr>
      <w:r>
        <w:rPr>
          <w:rFonts w:ascii="Tms Rmn" w:hAnsi="Tms Rmn" w:cs="Tms Rmn"/>
          <w:bCs w:val="0"/>
          <w:snapToGrid w:val="0"/>
          <w:color w:val="000000"/>
        </w:rPr>
        <w:t>2008 Reformer Ultra Low-NOx Burner Replacement Project</w:t>
      </w:r>
    </w:p>
    <w:p w:rsidR="004172B3" w:rsidRDefault="004172B3" w:rsidP="004172B3">
      <w:pPr>
        <w:pStyle w:val="Title"/>
        <w:rPr>
          <w:rFonts w:ascii="Tms Rmn" w:hAnsi="Tms Rmn" w:cs="Tms Rmn"/>
          <w:bCs w:val="0"/>
          <w:snapToGrid w:val="0"/>
          <w:color w:val="000000"/>
        </w:rPr>
      </w:pPr>
    </w:p>
    <w:p w:rsidR="004172B3" w:rsidRDefault="004172B3" w:rsidP="004172B3">
      <w:pPr>
        <w:pStyle w:val="Title"/>
        <w:rPr>
          <w:rFonts w:ascii="Tms Rmn" w:hAnsi="Tms Rmn" w:cs="Tms Rmn"/>
          <w:bCs w:val="0"/>
          <w:snapToGrid w:val="0"/>
          <w:color w:val="000000"/>
        </w:rPr>
      </w:pPr>
      <w:r>
        <w:rPr>
          <w:rFonts w:ascii="Tms Rmn" w:hAnsi="Tms Rmn" w:cs="Tms Rmn"/>
          <w:bCs w:val="0"/>
          <w:snapToGrid w:val="0"/>
          <w:color w:val="000000"/>
        </w:rPr>
        <w:t>Revised PSD Applicability Determination</w:t>
      </w:r>
    </w:p>
    <w:p w:rsidR="004172B3" w:rsidRDefault="004172B3" w:rsidP="004172B3">
      <w:pPr>
        <w:pStyle w:val="Title"/>
        <w:rPr>
          <w:rFonts w:ascii="Tms Rmn" w:hAnsi="Tms Rmn" w:cs="Tms Rmn"/>
          <w:bCs w:val="0"/>
          <w:snapToGrid w:val="0"/>
          <w:color w:val="000000"/>
        </w:rPr>
      </w:pPr>
    </w:p>
    <w:p w:rsidR="004172B3" w:rsidRDefault="004172B3" w:rsidP="004172B3">
      <w:pPr>
        <w:pStyle w:val="Title"/>
        <w:rPr>
          <w:rFonts w:ascii="Tms Rmn" w:hAnsi="Tms Rmn" w:cs="Tms Rmn"/>
          <w:bCs w:val="0"/>
          <w:snapToGrid w:val="0"/>
          <w:color w:val="000000"/>
        </w:rPr>
      </w:pPr>
    </w:p>
    <w:p w:rsidR="004172B3" w:rsidRPr="004172B3" w:rsidRDefault="004172B3" w:rsidP="004172B3">
      <w:pPr>
        <w:pStyle w:val="Title"/>
        <w:rPr>
          <w:rFonts w:ascii="Tms Rmn" w:hAnsi="Tms Rmn" w:cs="Tms Rmn"/>
          <w:b w:val="0"/>
          <w:bCs w:val="0"/>
          <w:snapToGrid w:val="0"/>
          <w:color w:val="000000"/>
        </w:rPr>
      </w:pPr>
      <w:r w:rsidRPr="004172B3">
        <w:rPr>
          <w:rFonts w:ascii="Tms Rmn" w:hAnsi="Tms Rmn" w:cs="Tms Rmn"/>
          <w:b w:val="0"/>
          <w:bCs w:val="0"/>
          <w:snapToGrid w:val="0"/>
          <w:color w:val="000000"/>
        </w:rPr>
        <w:t>(excerpt from CF’s January, 2016 Permit Modification Application)</w:t>
      </w:r>
    </w:p>
    <w:sectPr w:rsidR="004172B3" w:rsidRPr="004172B3" w:rsidSect="0055558F">
      <w:headerReference w:type="default" r:id="rId8"/>
      <w:footerReference w:type="defaul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EF" w:rsidRDefault="00DF2DEF">
      <w:r>
        <w:separator/>
      </w:r>
    </w:p>
  </w:endnote>
  <w:endnote w:type="continuationSeparator" w:id="0">
    <w:p w:rsidR="00DF2DEF" w:rsidRDefault="00DF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0D" w:rsidRPr="0026446A" w:rsidRDefault="004F1F0D" w:rsidP="003612AA">
    <w:pPr>
      <w:pStyle w:val="Footer"/>
      <w:tabs>
        <w:tab w:val="left" w:pos="3906"/>
      </w:tabs>
    </w:pPr>
    <w:r>
      <w:t>2269 PER20160001</w:t>
    </w:r>
    <w:r w:rsidR="007846B6">
      <w:tab/>
    </w:r>
    <w:r w:rsidR="003612AA">
      <w:t xml:space="preserve">       </w:t>
    </w:r>
    <w:r w:rsidR="007846B6">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0D" w:rsidRDefault="004F1F0D">
    <w:pPr>
      <w:pStyle w:val="Footer"/>
    </w:pPr>
    <w:r>
      <w:t>2269 PER20160001</w:t>
    </w:r>
    <w:r w:rsidR="007846B6">
      <w:tab/>
    </w:r>
    <w:r w:rsidR="003612AA">
      <w:t xml:space="preserve">        </w:t>
    </w:r>
    <w:r w:rsidR="007846B6">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EF" w:rsidRDefault="00DF2DEF">
      <w:r>
        <w:separator/>
      </w:r>
    </w:p>
  </w:footnote>
  <w:footnote w:type="continuationSeparator" w:id="0">
    <w:p w:rsidR="00DF2DEF" w:rsidRDefault="00DF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0D" w:rsidRDefault="004F1F0D">
    <w:pPr>
      <w:pStyle w:val="Header"/>
      <w:rPr>
        <w:sz w:val="18"/>
        <w:szCs w:val="18"/>
      </w:rPr>
    </w:pPr>
    <w:r>
      <w:rPr>
        <w:sz w:val="18"/>
        <w:szCs w:val="18"/>
      </w:rPr>
      <w:t>Permit Review Summary</w:t>
    </w:r>
  </w:p>
  <w:p w:rsidR="004F1F0D" w:rsidRDefault="004F1F0D">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11A1C">
      <w:rPr>
        <w:rStyle w:val="PageNumber"/>
        <w:noProof/>
        <w:sz w:val="18"/>
        <w:szCs w:val="18"/>
      </w:rPr>
      <w:t>6</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A53207B"/>
    <w:multiLevelType w:val="hybridMultilevel"/>
    <w:tmpl w:val="F19ECB64"/>
    <w:lvl w:ilvl="0" w:tplc="5B4AA1CC">
      <w:start w:val="1"/>
      <w:numFmt w:val="bullet"/>
      <w:lvlText w:val=""/>
      <w:lvlJc w:val="left"/>
      <w:pPr>
        <w:tabs>
          <w:tab w:val="num" w:pos="810"/>
        </w:tabs>
        <w:ind w:left="810" w:hanging="360"/>
      </w:pPr>
      <w:rPr>
        <w:rFonts w:ascii="Symbol" w:hAnsi="Symbol" w:cs="Symbol" w:hint="default"/>
        <w:sz w:val="20"/>
        <w:szCs w:val="20"/>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cs="Wingdings" w:hint="default"/>
      </w:rPr>
    </w:lvl>
    <w:lvl w:ilvl="3" w:tplc="04090001" w:tentative="1">
      <w:start w:val="1"/>
      <w:numFmt w:val="bullet"/>
      <w:lvlText w:val=""/>
      <w:lvlJc w:val="left"/>
      <w:pPr>
        <w:tabs>
          <w:tab w:val="num" w:pos="3330"/>
        </w:tabs>
        <w:ind w:left="3330" w:hanging="360"/>
      </w:pPr>
      <w:rPr>
        <w:rFonts w:ascii="Symbol" w:hAnsi="Symbol" w:cs="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cs="Wingdings" w:hint="default"/>
      </w:rPr>
    </w:lvl>
    <w:lvl w:ilvl="6" w:tplc="04090001" w:tentative="1">
      <w:start w:val="1"/>
      <w:numFmt w:val="bullet"/>
      <w:lvlText w:val=""/>
      <w:lvlJc w:val="left"/>
      <w:pPr>
        <w:tabs>
          <w:tab w:val="num" w:pos="5490"/>
        </w:tabs>
        <w:ind w:left="5490" w:hanging="360"/>
      </w:pPr>
      <w:rPr>
        <w:rFonts w:ascii="Symbol" w:hAnsi="Symbol" w:cs="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cs="Wingdings" w:hint="default"/>
      </w:rPr>
    </w:lvl>
  </w:abstractNum>
  <w:abstractNum w:abstractNumId="3"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255279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EC2F92"/>
    <w:multiLevelType w:val="hybridMultilevel"/>
    <w:tmpl w:val="5942B122"/>
    <w:lvl w:ilvl="0" w:tplc="C804CB0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610F"/>
    <w:multiLevelType w:val="hybridMultilevel"/>
    <w:tmpl w:val="B3042510"/>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DA8602D"/>
    <w:multiLevelType w:val="hybridMultilevel"/>
    <w:tmpl w:val="F07430D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74384FA1"/>
    <w:multiLevelType w:val="hybridMultilevel"/>
    <w:tmpl w:val="3ADC87D0"/>
    <w:lvl w:ilvl="0" w:tplc="B0867E8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0"/>
  </w:num>
  <w:num w:numId="3">
    <w:abstractNumId w:val="8"/>
  </w:num>
  <w:num w:numId="4">
    <w:abstractNumId w:val="12"/>
  </w:num>
  <w:num w:numId="5">
    <w:abstractNumId w:val="1"/>
  </w:num>
  <w:num w:numId="6">
    <w:abstractNumId w:val="11"/>
  </w:num>
  <w:num w:numId="7">
    <w:abstractNumId w:val="14"/>
  </w:num>
  <w:num w:numId="8">
    <w:abstractNumId w:val="10"/>
  </w:num>
  <w:num w:numId="9">
    <w:abstractNumId w:val="9"/>
  </w:num>
  <w:num w:numId="10">
    <w:abstractNumId w:val="3"/>
  </w:num>
  <w:num w:numId="11">
    <w:abstractNumId w:val="7"/>
  </w:num>
  <w:num w:numId="12">
    <w:abstractNumId w:val="6"/>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proofState w:spelling="clean" w:grammar="clean"/>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028BB"/>
    <w:rsid w:val="00007C16"/>
    <w:rsid w:val="00012D7E"/>
    <w:rsid w:val="00104E88"/>
    <w:rsid w:val="001056FF"/>
    <w:rsid w:val="00110ECF"/>
    <w:rsid w:val="00127F3F"/>
    <w:rsid w:val="00150069"/>
    <w:rsid w:val="00151760"/>
    <w:rsid w:val="00161B36"/>
    <w:rsid w:val="001A6AB2"/>
    <w:rsid w:val="001A7E41"/>
    <w:rsid w:val="001B4F4B"/>
    <w:rsid w:val="001C4155"/>
    <w:rsid w:val="001C581F"/>
    <w:rsid w:val="001D350E"/>
    <w:rsid w:val="00233312"/>
    <w:rsid w:val="00234719"/>
    <w:rsid w:val="0026446A"/>
    <w:rsid w:val="002D651E"/>
    <w:rsid w:val="00325496"/>
    <w:rsid w:val="003612AA"/>
    <w:rsid w:val="00361BC2"/>
    <w:rsid w:val="003A22FE"/>
    <w:rsid w:val="004172B3"/>
    <w:rsid w:val="00430BD1"/>
    <w:rsid w:val="0044758F"/>
    <w:rsid w:val="00454FF3"/>
    <w:rsid w:val="00475EFF"/>
    <w:rsid w:val="004A0714"/>
    <w:rsid w:val="004B54B5"/>
    <w:rsid w:val="004C3940"/>
    <w:rsid w:val="004F1F0D"/>
    <w:rsid w:val="004F7E78"/>
    <w:rsid w:val="00533198"/>
    <w:rsid w:val="0055558F"/>
    <w:rsid w:val="00562523"/>
    <w:rsid w:val="005A5E8C"/>
    <w:rsid w:val="005E011A"/>
    <w:rsid w:val="005E59F5"/>
    <w:rsid w:val="00610402"/>
    <w:rsid w:val="00613FE6"/>
    <w:rsid w:val="00630A0C"/>
    <w:rsid w:val="006362E3"/>
    <w:rsid w:val="00684659"/>
    <w:rsid w:val="006933BA"/>
    <w:rsid w:val="006A5D85"/>
    <w:rsid w:val="00711A1C"/>
    <w:rsid w:val="00721E02"/>
    <w:rsid w:val="007225DC"/>
    <w:rsid w:val="0072268C"/>
    <w:rsid w:val="00745E65"/>
    <w:rsid w:val="007846B6"/>
    <w:rsid w:val="007C5E0F"/>
    <w:rsid w:val="007F54B3"/>
    <w:rsid w:val="008552A0"/>
    <w:rsid w:val="008A16FB"/>
    <w:rsid w:val="008C2B93"/>
    <w:rsid w:val="008C449B"/>
    <w:rsid w:val="0090007E"/>
    <w:rsid w:val="00954B77"/>
    <w:rsid w:val="0098609E"/>
    <w:rsid w:val="00986DF9"/>
    <w:rsid w:val="009C2DA1"/>
    <w:rsid w:val="009F18D7"/>
    <w:rsid w:val="009F61C1"/>
    <w:rsid w:val="00A061C0"/>
    <w:rsid w:val="00A26355"/>
    <w:rsid w:val="00A52D38"/>
    <w:rsid w:val="00A73C41"/>
    <w:rsid w:val="00A90E68"/>
    <w:rsid w:val="00A9167C"/>
    <w:rsid w:val="00AB5062"/>
    <w:rsid w:val="00AD530E"/>
    <w:rsid w:val="00AE785C"/>
    <w:rsid w:val="00B216A9"/>
    <w:rsid w:val="00B22920"/>
    <w:rsid w:val="00B43E9A"/>
    <w:rsid w:val="00B52DA2"/>
    <w:rsid w:val="00B55CB1"/>
    <w:rsid w:val="00B64B20"/>
    <w:rsid w:val="00B76335"/>
    <w:rsid w:val="00BB43A6"/>
    <w:rsid w:val="00C509EF"/>
    <w:rsid w:val="00C84DD3"/>
    <w:rsid w:val="00C95FA4"/>
    <w:rsid w:val="00CC2D8B"/>
    <w:rsid w:val="00CD2191"/>
    <w:rsid w:val="00D41D5B"/>
    <w:rsid w:val="00D65C78"/>
    <w:rsid w:val="00D80A57"/>
    <w:rsid w:val="00D917D0"/>
    <w:rsid w:val="00D9438F"/>
    <w:rsid w:val="00D96681"/>
    <w:rsid w:val="00DB18CB"/>
    <w:rsid w:val="00DF00CE"/>
    <w:rsid w:val="00DF2DEF"/>
    <w:rsid w:val="00E21371"/>
    <w:rsid w:val="00E573F1"/>
    <w:rsid w:val="00E80FF3"/>
    <w:rsid w:val="00E81BEA"/>
    <w:rsid w:val="00EA6311"/>
    <w:rsid w:val="00EB405E"/>
    <w:rsid w:val="00EB75B4"/>
    <w:rsid w:val="00F179A4"/>
    <w:rsid w:val="00F17FEF"/>
    <w:rsid w:val="00F362CE"/>
    <w:rsid w:val="00F67BC9"/>
    <w:rsid w:val="00FA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5EE30916"/>
  <w15:docId w15:val="{E8F6E887-DA53-4A19-8301-62914CF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6FF"/>
    <w:pPr>
      <w:widowControl w:val="0"/>
      <w:autoSpaceDE w:val="0"/>
      <w:autoSpaceDN w:val="0"/>
    </w:pPr>
    <w:rPr>
      <w:sz w:val="24"/>
      <w:szCs w:val="24"/>
    </w:rPr>
  </w:style>
  <w:style w:type="paragraph" w:styleId="Heading1">
    <w:name w:val="heading 1"/>
    <w:basedOn w:val="Normal"/>
    <w:next w:val="Normal"/>
    <w:link w:val="Heading1Char"/>
    <w:uiPriority w:val="99"/>
    <w:qFormat/>
    <w:rsid w:val="001056FF"/>
    <w:pPr>
      <w:keepNext/>
      <w:widowControl/>
      <w:jc w:val="center"/>
      <w:outlineLvl w:val="0"/>
    </w:pPr>
    <w:rPr>
      <w:b/>
      <w:bCs/>
    </w:rPr>
  </w:style>
  <w:style w:type="paragraph" w:styleId="Heading2">
    <w:name w:val="heading 2"/>
    <w:basedOn w:val="Normal"/>
    <w:next w:val="Normal"/>
    <w:link w:val="Heading2Char"/>
    <w:uiPriority w:val="99"/>
    <w:qFormat/>
    <w:rsid w:val="001056FF"/>
    <w:pPr>
      <w:keepNext/>
      <w:widowControl/>
      <w:jc w:val="center"/>
      <w:outlineLvl w:val="1"/>
    </w:pPr>
    <w:rPr>
      <w:b/>
      <w:bCs/>
      <w:sz w:val="28"/>
      <w:szCs w:val="28"/>
    </w:rPr>
  </w:style>
  <w:style w:type="paragraph" w:styleId="Heading3">
    <w:name w:val="heading 3"/>
    <w:basedOn w:val="Normal"/>
    <w:next w:val="Normal"/>
    <w:link w:val="Heading3Char"/>
    <w:uiPriority w:val="99"/>
    <w:qFormat/>
    <w:rsid w:val="001056FF"/>
    <w:pPr>
      <w:keepNext/>
      <w:widowControl/>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6F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056F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056FF"/>
    <w:rPr>
      <w:rFonts w:ascii="Cambria" w:hAnsi="Cambria" w:cs="Cambria"/>
      <w:b/>
      <w:bCs/>
      <w:sz w:val="26"/>
      <w:szCs w:val="26"/>
    </w:rPr>
  </w:style>
  <w:style w:type="character" w:styleId="FootnoteReference">
    <w:name w:val="footnote reference"/>
    <w:basedOn w:val="DefaultParagraphFont"/>
    <w:uiPriority w:val="99"/>
    <w:semiHidden/>
    <w:rsid w:val="001056FF"/>
  </w:style>
  <w:style w:type="paragraph" w:styleId="BodyText">
    <w:name w:val="Body Text"/>
    <w:basedOn w:val="Normal"/>
    <w:link w:val="BodyTextChar"/>
    <w:uiPriority w:val="99"/>
    <w:rsid w:val="001056FF"/>
    <w:pPr>
      <w:spacing w:after="120"/>
    </w:pPr>
  </w:style>
  <w:style w:type="character" w:customStyle="1" w:styleId="BodyTextChar">
    <w:name w:val="Body Text Char"/>
    <w:basedOn w:val="DefaultParagraphFont"/>
    <w:link w:val="BodyText"/>
    <w:uiPriority w:val="99"/>
    <w:semiHidden/>
    <w:locked/>
    <w:rsid w:val="001056FF"/>
    <w:rPr>
      <w:sz w:val="24"/>
      <w:szCs w:val="24"/>
    </w:rPr>
  </w:style>
  <w:style w:type="paragraph" w:customStyle="1" w:styleId="ReferenceLine">
    <w:name w:val="Reference Line"/>
    <w:basedOn w:val="BodyText"/>
    <w:uiPriority w:val="99"/>
    <w:rsid w:val="001056FF"/>
  </w:style>
  <w:style w:type="paragraph" w:styleId="Closing">
    <w:name w:val="Closing"/>
    <w:basedOn w:val="Normal"/>
    <w:link w:val="ClosingChar"/>
    <w:uiPriority w:val="99"/>
    <w:rsid w:val="001056FF"/>
    <w:pPr>
      <w:ind w:left="4320"/>
    </w:pPr>
  </w:style>
  <w:style w:type="character" w:customStyle="1" w:styleId="ClosingChar">
    <w:name w:val="Closing Char"/>
    <w:basedOn w:val="DefaultParagraphFont"/>
    <w:link w:val="Closing"/>
    <w:uiPriority w:val="99"/>
    <w:semiHidden/>
    <w:locked/>
    <w:rsid w:val="001056FF"/>
    <w:rPr>
      <w:sz w:val="24"/>
      <w:szCs w:val="24"/>
    </w:rPr>
  </w:style>
  <w:style w:type="paragraph" w:styleId="Signature">
    <w:name w:val="Signature"/>
    <w:basedOn w:val="Normal"/>
    <w:link w:val="SignatureChar"/>
    <w:uiPriority w:val="99"/>
    <w:rsid w:val="001056FF"/>
    <w:pPr>
      <w:ind w:left="4320"/>
    </w:pPr>
  </w:style>
  <w:style w:type="character" w:customStyle="1" w:styleId="SignatureChar">
    <w:name w:val="Signature Char"/>
    <w:basedOn w:val="DefaultParagraphFont"/>
    <w:link w:val="Signature"/>
    <w:uiPriority w:val="99"/>
    <w:semiHidden/>
    <w:locked/>
    <w:rsid w:val="001056FF"/>
    <w:rPr>
      <w:sz w:val="24"/>
      <w:szCs w:val="24"/>
    </w:rPr>
  </w:style>
  <w:style w:type="paragraph" w:customStyle="1" w:styleId="CcList">
    <w:name w:val="Cc List"/>
    <w:basedOn w:val="Normal"/>
    <w:uiPriority w:val="99"/>
    <w:rsid w:val="001056FF"/>
  </w:style>
  <w:style w:type="paragraph" w:styleId="Date">
    <w:name w:val="Date"/>
    <w:basedOn w:val="Normal"/>
    <w:next w:val="Normal"/>
    <w:link w:val="DateChar"/>
    <w:uiPriority w:val="99"/>
    <w:rsid w:val="001056FF"/>
    <w:pPr>
      <w:ind w:left="4320"/>
    </w:pPr>
  </w:style>
  <w:style w:type="character" w:customStyle="1" w:styleId="DateChar">
    <w:name w:val="Date Char"/>
    <w:basedOn w:val="DefaultParagraphFont"/>
    <w:link w:val="Date"/>
    <w:uiPriority w:val="99"/>
    <w:semiHidden/>
    <w:locked/>
    <w:rsid w:val="001056FF"/>
    <w:rPr>
      <w:sz w:val="24"/>
      <w:szCs w:val="24"/>
    </w:rPr>
  </w:style>
  <w:style w:type="paragraph" w:styleId="BodyText2">
    <w:name w:val="Body Text 2"/>
    <w:basedOn w:val="Normal"/>
    <w:link w:val="BodyText2Char"/>
    <w:uiPriority w:val="99"/>
    <w:rsid w:val="001056FF"/>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semiHidden/>
    <w:locked/>
    <w:rsid w:val="001056FF"/>
    <w:rPr>
      <w:sz w:val="24"/>
      <w:szCs w:val="24"/>
    </w:rPr>
  </w:style>
  <w:style w:type="paragraph" w:styleId="Header">
    <w:name w:val="header"/>
    <w:basedOn w:val="Normal"/>
    <w:link w:val="HeaderChar"/>
    <w:uiPriority w:val="99"/>
    <w:rsid w:val="001056FF"/>
    <w:pPr>
      <w:tabs>
        <w:tab w:val="center" w:pos="4320"/>
        <w:tab w:val="right" w:pos="8640"/>
      </w:tabs>
    </w:pPr>
  </w:style>
  <w:style w:type="character" w:customStyle="1" w:styleId="HeaderChar">
    <w:name w:val="Header Char"/>
    <w:basedOn w:val="DefaultParagraphFont"/>
    <w:link w:val="Header"/>
    <w:uiPriority w:val="99"/>
    <w:semiHidden/>
    <w:locked/>
    <w:rsid w:val="001056FF"/>
    <w:rPr>
      <w:sz w:val="24"/>
      <w:szCs w:val="24"/>
    </w:rPr>
  </w:style>
  <w:style w:type="paragraph" w:styleId="Footer">
    <w:name w:val="footer"/>
    <w:basedOn w:val="Normal"/>
    <w:link w:val="FooterChar"/>
    <w:uiPriority w:val="99"/>
    <w:rsid w:val="001056FF"/>
    <w:pPr>
      <w:tabs>
        <w:tab w:val="center" w:pos="4320"/>
        <w:tab w:val="right" w:pos="8640"/>
      </w:tabs>
    </w:pPr>
  </w:style>
  <w:style w:type="character" w:customStyle="1" w:styleId="FooterChar">
    <w:name w:val="Footer Char"/>
    <w:basedOn w:val="DefaultParagraphFont"/>
    <w:link w:val="Footer"/>
    <w:uiPriority w:val="99"/>
    <w:semiHidden/>
    <w:locked/>
    <w:rsid w:val="001056FF"/>
    <w:rPr>
      <w:sz w:val="24"/>
      <w:szCs w:val="24"/>
    </w:rPr>
  </w:style>
  <w:style w:type="paragraph" w:styleId="Title">
    <w:name w:val="Title"/>
    <w:basedOn w:val="Normal"/>
    <w:link w:val="TitleChar"/>
    <w:uiPriority w:val="99"/>
    <w:qFormat/>
    <w:rsid w:val="001056FF"/>
    <w:pPr>
      <w:widowControl/>
      <w:jc w:val="center"/>
    </w:pPr>
    <w:rPr>
      <w:b/>
      <w:bCs/>
    </w:rPr>
  </w:style>
  <w:style w:type="character" w:customStyle="1" w:styleId="TitleChar">
    <w:name w:val="Title Char"/>
    <w:basedOn w:val="DefaultParagraphFont"/>
    <w:link w:val="Title"/>
    <w:uiPriority w:val="99"/>
    <w:locked/>
    <w:rsid w:val="001056FF"/>
    <w:rPr>
      <w:rFonts w:ascii="Cambria" w:hAnsi="Cambria" w:cs="Cambria"/>
      <w:b/>
      <w:bCs/>
      <w:kern w:val="28"/>
      <w:sz w:val="32"/>
      <w:szCs w:val="32"/>
    </w:rPr>
  </w:style>
  <w:style w:type="character" w:styleId="PageNumber">
    <w:name w:val="page number"/>
    <w:basedOn w:val="DefaultParagraphFont"/>
    <w:uiPriority w:val="99"/>
    <w:rsid w:val="001056FF"/>
  </w:style>
  <w:style w:type="table" w:styleId="TableGrid">
    <w:name w:val="Table Grid"/>
    <w:basedOn w:val="TableNormal"/>
    <w:uiPriority w:val="99"/>
    <w:locked/>
    <w:rsid w:val="002D651E"/>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3A22FE"/>
    <w:rPr>
      <w:sz w:val="20"/>
      <w:szCs w:val="20"/>
    </w:rPr>
  </w:style>
  <w:style w:type="character" w:customStyle="1" w:styleId="FootnoteTextChar">
    <w:name w:val="Footnote Text Char"/>
    <w:basedOn w:val="DefaultParagraphFont"/>
    <w:link w:val="FootnoteText"/>
    <w:uiPriority w:val="99"/>
    <w:semiHidden/>
    <w:rsid w:val="003A22FE"/>
    <w:rPr>
      <w:sz w:val="20"/>
      <w:szCs w:val="20"/>
    </w:rPr>
  </w:style>
  <w:style w:type="paragraph" w:styleId="BalloonText">
    <w:name w:val="Balloon Text"/>
    <w:basedOn w:val="Normal"/>
    <w:link w:val="BalloonTextChar"/>
    <w:uiPriority w:val="99"/>
    <w:semiHidden/>
    <w:unhideWhenUsed/>
    <w:locked/>
    <w:rsid w:val="00D41D5B"/>
    <w:rPr>
      <w:rFonts w:ascii="Tahoma" w:hAnsi="Tahoma" w:cs="Tahoma"/>
      <w:sz w:val="16"/>
      <w:szCs w:val="16"/>
    </w:rPr>
  </w:style>
  <w:style w:type="character" w:customStyle="1" w:styleId="BalloonTextChar">
    <w:name w:val="Balloon Text Char"/>
    <w:basedOn w:val="DefaultParagraphFont"/>
    <w:link w:val="BalloonText"/>
    <w:uiPriority w:val="99"/>
    <w:semiHidden/>
    <w:rsid w:val="00D41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33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85FD-1518-40B1-A109-BC8BB304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creator>Bruce Ferguson</dc:creator>
  <cp:lastModifiedBy>PHILIP MORRIS</cp:lastModifiedBy>
  <cp:revision>26</cp:revision>
  <cp:lastPrinted>2016-05-31T13:43:00Z</cp:lastPrinted>
  <dcterms:created xsi:type="dcterms:W3CDTF">2016-05-24T21:21:00Z</dcterms:created>
  <dcterms:modified xsi:type="dcterms:W3CDTF">2016-07-06T19:09:00Z</dcterms:modified>
</cp:coreProperties>
</file>