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5C" w:rsidRDefault="004F4028">
      <w:pPr>
        <w:pStyle w:val="Title"/>
        <w:rPr>
          <w:sz w:val="28"/>
          <w:szCs w:val="28"/>
          <w:u w:val="single"/>
        </w:rPr>
      </w:pPr>
      <w:r>
        <w:rPr>
          <w:sz w:val="28"/>
          <w:szCs w:val="28"/>
          <w:u w:val="single"/>
        </w:rPr>
        <w:t xml:space="preserve">PUBLIC NOTICE </w:t>
      </w:r>
      <w:r w:rsidR="005B35DC">
        <w:rPr>
          <w:sz w:val="28"/>
          <w:szCs w:val="28"/>
          <w:u w:val="single"/>
        </w:rPr>
        <w:t xml:space="preserve">DRAFT </w:t>
      </w:r>
      <w:r w:rsidR="00AE785C">
        <w:rPr>
          <w:sz w:val="28"/>
          <w:szCs w:val="28"/>
          <w:u w:val="single"/>
        </w:rPr>
        <w:t>PERMIT REVIEW SUMMARY</w:t>
      </w:r>
    </w:p>
    <w:p w:rsidR="00AE785C" w:rsidRDefault="00AE785C">
      <w:pPr>
        <w:pStyle w:val="Title"/>
        <w:jc w:val="both"/>
      </w:pPr>
    </w:p>
    <w:p w:rsidR="00233312" w:rsidRDefault="00233312" w:rsidP="00233312">
      <w:pPr>
        <w:pStyle w:val="Title"/>
        <w:jc w:val="both"/>
      </w:pPr>
      <w:r>
        <w:t>Permit Writer:</w:t>
      </w:r>
      <w:r>
        <w:tab/>
      </w:r>
      <w:r>
        <w:rPr>
          <w:b w:val="0"/>
        </w:rPr>
        <w:t xml:space="preserve">Slater Smith </w:t>
      </w:r>
      <w:r>
        <w:rPr>
          <w:b w:val="0"/>
        </w:rPr>
        <w:tab/>
      </w:r>
      <w:r>
        <w:rPr>
          <w:b w:val="0"/>
        </w:rPr>
        <w:tab/>
      </w:r>
      <w:r>
        <w:rPr>
          <w:b w:val="0"/>
        </w:rPr>
        <w:tab/>
      </w:r>
      <w:r>
        <w:t>Date:</w:t>
      </w:r>
      <w:r w:rsidR="00985377">
        <w:rPr>
          <w:b w:val="0"/>
        </w:rPr>
        <w:tab/>
      </w:r>
      <w:r w:rsidR="001E2733">
        <w:rPr>
          <w:b w:val="0"/>
        </w:rPr>
        <w:t>July 11</w:t>
      </w:r>
      <w:r w:rsidR="006668B6">
        <w:rPr>
          <w:b w:val="0"/>
        </w:rPr>
        <w:t>, 2017</w:t>
      </w:r>
    </w:p>
    <w:p w:rsidR="00562523" w:rsidRDefault="00562523">
      <w:pPr>
        <w:pStyle w:val="Title"/>
        <w:jc w:val="both"/>
      </w:pPr>
    </w:p>
    <w:p w:rsidR="00AE785C" w:rsidRDefault="00AE785C">
      <w:pPr>
        <w:pStyle w:val="Title"/>
        <w:jc w:val="both"/>
      </w:pPr>
      <w:r>
        <w:t>Company Name:</w:t>
      </w:r>
      <w:r>
        <w:tab/>
      </w:r>
      <w:r>
        <w:rPr>
          <w:b w:val="0"/>
          <w:bCs w:val="0"/>
        </w:rPr>
        <w:t>Omega Protein, Inc</w:t>
      </w:r>
    </w:p>
    <w:p w:rsidR="00AE785C" w:rsidRDefault="00AE785C">
      <w:pPr>
        <w:pStyle w:val="Title"/>
        <w:jc w:val="both"/>
      </w:pPr>
    </w:p>
    <w:p w:rsidR="00AE785C" w:rsidRDefault="00AE785C">
      <w:pPr>
        <w:pStyle w:val="Title"/>
        <w:jc w:val="both"/>
        <w:rPr>
          <w:b w:val="0"/>
          <w:bCs w:val="0"/>
        </w:rPr>
      </w:pPr>
      <w:r>
        <w:t>Facility Location:</w:t>
      </w:r>
      <w:r>
        <w:tab/>
      </w:r>
      <w:r>
        <w:rPr>
          <w:b w:val="0"/>
          <w:bCs w:val="0"/>
        </w:rPr>
        <w:t>5735 Elder Ferry Road</w:t>
      </w:r>
    </w:p>
    <w:p w:rsidR="00AE785C" w:rsidRDefault="008358F2">
      <w:pPr>
        <w:pStyle w:val="Title"/>
        <w:ind w:left="2160"/>
        <w:jc w:val="both"/>
        <w:rPr>
          <w:b w:val="0"/>
          <w:bCs w:val="0"/>
        </w:rPr>
      </w:pPr>
      <w:r>
        <w:rPr>
          <w:b w:val="0"/>
          <w:bCs w:val="0"/>
        </w:rPr>
        <w:t>Moss Point, MS 39562</w:t>
      </w:r>
    </w:p>
    <w:p w:rsidR="00AE785C" w:rsidRDefault="00AE785C">
      <w:pPr>
        <w:pStyle w:val="Title"/>
        <w:jc w:val="both"/>
      </w:pPr>
    </w:p>
    <w:p w:rsidR="00AE785C" w:rsidRDefault="00AE785C">
      <w:pPr>
        <w:pStyle w:val="Title"/>
        <w:jc w:val="both"/>
      </w:pPr>
      <w:r>
        <w:t>Source Number:</w:t>
      </w:r>
      <w:r>
        <w:tab/>
      </w:r>
      <w:r>
        <w:rPr>
          <w:b w:val="0"/>
          <w:bCs w:val="0"/>
        </w:rPr>
        <w:t>1280-00030</w:t>
      </w:r>
    </w:p>
    <w:p w:rsidR="00AE785C" w:rsidRDefault="00AE785C">
      <w:pPr>
        <w:pStyle w:val="Title"/>
        <w:jc w:val="both"/>
      </w:pPr>
    </w:p>
    <w:p w:rsidR="00AE785C" w:rsidRDefault="00AE785C">
      <w:pPr>
        <w:pStyle w:val="Title"/>
        <w:jc w:val="both"/>
      </w:pPr>
      <w:r>
        <w:t xml:space="preserve">County: </w:t>
      </w:r>
      <w:r>
        <w:tab/>
      </w:r>
      <w:r>
        <w:tab/>
      </w:r>
      <w:r>
        <w:rPr>
          <w:b w:val="0"/>
          <w:bCs w:val="0"/>
        </w:rPr>
        <w:t>Jackson</w:t>
      </w:r>
    </w:p>
    <w:p w:rsidR="00AE785C" w:rsidRDefault="00AE785C">
      <w:pPr>
        <w:pStyle w:val="Title"/>
        <w:jc w:val="both"/>
      </w:pPr>
    </w:p>
    <w:p w:rsidR="00AE785C" w:rsidRPr="00F65D87" w:rsidRDefault="00AE785C">
      <w:pPr>
        <w:pStyle w:val="Title"/>
        <w:jc w:val="both"/>
        <w:rPr>
          <w:b w:val="0"/>
          <w:u w:val="single"/>
        </w:rPr>
      </w:pPr>
      <w:r w:rsidRPr="00F65D87">
        <w:rPr>
          <w:b w:val="0"/>
          <w:u w:val="single"/>
        </w:rPr>
        <w:t>PROJECT DESCRIPTION</w:t>
      </w:r>
    </w:p>
    <w:p w:rsidR="00AE785C" w:rsidRDefault="00AE785C">
      <w:pPr>
        <w:pStyle w:val="Title"/>
        <w:jc w:val="both"/>
        <w:rPr>
          <w:u w:val="single"/>
        </w:rPr>
      </w:pPr>
    </w:p>
    <w:p w:rsidR="006F7D27" w:rsidRPr="006F7D27" w:rsidRDefault="006F7D27" w:rsidP="006F7D27">
      <w:pPr>
        <w:widowControl/>
        <w:rPr>
          <w:color w:val="000000"/>
        </w:rPr>
      </w:pPr>
      <w:r w:rsidRPr="006F7D27">
        <w:rPr>
          <w:color w:val="000000"/>
        </w:rPr>
        <w:t>Omega Protein, Inc (Omega Protein) is a seasonal menhaden fish meal processor which operates</w:t>
      </w:r>
      <w:r w:rsidR="004872E5">
        <w:rPr>
          <w:color w:val="000000"/>
        </w:rPr>
        <w:t xml:space="preserve"> about 28 weeks starting mid-</w:t>
      </w:r>
      <w:r w:rsidRPr="006F7D27">
        <w:rPr>
          <w:color w:val="000000"/>
        </w:rPr>
        <w:t>April and continuing through November.</w:t>
      </w:r>
      <w:r w:rsidR="00B771D0">
        <w:rPr>
          <w:color w:val="000000"/>
        </w:rPr>
        <w:t xml:space="preserve"> Omega Protein has potential to emit volatile organic compounds (VOC) </w:t>
      </w:r>
      <w:proofErr w:type="gramStart"/>
      <w:r w:rsidR="00B771D0">
        <w:rPr>
          <w:color w:val="000000"/>
        </w:rPr>
        <w:t>in excess of</w:t>
      </w:r>
      <w:proofErr w:type="gramEnd"/>
      <w:r w:rsidR="00B771D0">
        <w:rPr>
          <w:color w:val="000000"/>
        </w:rPr>
        <w:t xml:space="preserve"> the major source threshold of 100 </w:t>
      </w:r>
      <w:r w:rsidR="0080662F">
        <w:rPr>
          <w:color w:val="000000"/>
        </w:rPr>
        <w:t>tons per year (</w:t>
      </w:r>
      <w:r w:rsidR="00B771D0">
        <w:rPr>
          <w:color w:val="000000"/>
        </w:rPr>
        <w:t>TPY</w:t>
      </w:r>
      <w:r w:rsidR="0080662F">
        <w:rPr>
          <w:color w:val="000000"/>
        </w:rPr>
        <w:t>)</w:t>
      </w:r>
      <w:r w:rsidR="00B771D0">
        <w:rPr>
          <w:color w:val="000000"/>
        </w:rPr>
        <w:t xml:space="preserve">. However, </w:t>
      </w:r>
      <w:r w:rsidRPr="006F7D27">
        <w:rPr>
          <w:color w:val="000000"/>
        </w:rPr>
        <w:t>Omega Protein</w:t>
      </w:r>
      <w:r w:rsidR="00B771D0">
        <w:rPr>
          <w:color w:val="000000"/>
        </w:rPr>
        <w:t xml:space="preserve"> has imposed limitations on annual hours of fish processing and annual number of fish process</w:t>
      </w:r>
      <w:r w:rsidR="00134B4E">
        <w:rPr>
          <w:color w:val="000000"/>
        </w:rPr>
        <w:t>ed</w:t>
      </w:r>
      <w:r w:rsidR="00B771D0">
        <w:rPr>
          <w:color w:val="000000"/>
        </w:rPr>
        <w:t xml:space="preserve"> in order to remain below the VOC major source threshold.</w:t>
      </w:r>
      <w:r w:rsidRPr="006F7D27">
        <w:rPr>
          <w:color w:val="000000"/>
        </w:rPr>
        <w:t xml:space="preserve"> </w:t>
      </w:r>
    </w:p>
    <w:p w:rsidR="006F7D27" w:rsidRDefault="006F7D27">
      <w:pPr>
        <w:pStyle w:val="Title"/>
        <w:jc w:val="both"/>
        <w:rPr>
          <w:color w:val="000000"/>
          <w:sz w:val="22"/>
          <w:szCs w:val="22"/>
        </w:rPr>
      </w:pPr>
    </w:p>
    <w:p w:rsidR="0046750E" w:rsidRDefault="00877BD8">
      <w:pPr>
        <w:pStyle w:val="Title"/>
        <w:jc w:val="both"/>
        <w:rPr>
          <w:b w:val="0"/>
          <w:bCs w:val="0"/>
        </w:rPr>
      </w:pPr>
      <w:r>
        <w:rPr>
          <w:b w:val="0"/>
          <w:bCs w:val="0"/>
        </w:rPr>
        <w:t xml:space="preserve">Omega Protein is submitting </w:t>
      </w:r>
      <w:r w:rsidR="004F4028">
        <w:rPr>
          <w:b w:val="0"/>
          <w:bCs w:val="0"/>
        </w:rPr>
        <w:t>modification application to add</w:t>
      </w:r>
      <w:r>
        <w:rPr>
          <w:b w:val="0"/>
          <w:bCs w:val="0"/>
        </w:rPr>
        <w:t xml:space="preserve"> 800 and 1,200 hours of operation to Boiler No. 3 (AA-003) and Boiler No. 4 (AA-011), respectively. </w:t>
      </w:r>
      <w:r w:rsidR="00134B4E">
        <w:rPr>
          <w:b w:val="0"/>
          <w:bCs w:val="0"/>
        </w:rPr>
        <w:t>T</w:t>
      </w:r>
      <w:r>
        <w:rPr>
          <w:b w:val="0"/>
          <w:bCs w:val="0"/>
        </w:rPr>
        <w:t>he increase in hours of operation will cause</w:t>
      </w:r>
      <w:r w:rsidR="0080662F">
        <w:rPr>
          <w:b w:val="0"/>
          <w:bCs w:val="0"/>
        </w:rPr>
        <w:t xml:space="preserve"> CO (3.72 TPY)</w:t>
      </w:r>
      <w:r>
        <w:rPr>
          <w:b w:val="0"/>
          <w:bCs w:val="0"/>
        </w:rPr>
        <w:t xml:space="preserve"> NO</w:t>
      </w:r>
      <w:r>
        <w:rPr>
          <w:b w:val="0"/>
          <w:bCs w:val="0"/>
          <w:vertAlign w:val="subscript"/>
        </w:rPr>
        <w:t>x</w:t>
      </w:r>
      <w:r w:rsidR="0046750E">
        <w:rPr>
          <w:b w:val="0"/>
          <w:bCs w:val="0"/>
        </w:rPr>
        <w:t xml:space="preserve"> </w:t>
      </w:r>
      <w:r>
        <w:rPr>
          <w:b w:val="0"/>
          <w:bCs w:val="0"/>
        </w:rPr>
        <w:t>(5.88</w:t>
      </w:r>
      <w:r w:rsidR="00F65D87">
        <w:rPr>
          <w:b w:val="0"/>
          <w:bCs w:val="0"/>
        </w:rPr>
        <w:t xml:space="preserve"> TPY) </w:t>
      </w:r>
      <w:r w:rsidR="0046750E">
        <w:rPr>
          <w:b w:val="0"/>
          <w:bCs w:val="0"/>
        </w:rPr>
        <w:t>and VOC</w:t>
      </w:r>
      <w:r>
        <w:rPr>
          <w:b w:val="0"/>
          <w:bCs w:val="0"/>
        </w:rPr>
        <w:t xml:space="preserve"> (0.59</w:t>
      </w:r>
      <w:r w:rsidR="00F65D87">
        <w:rPr>
          <w:b w:val="0"/>
          <w:bCs w:val="0"/>
        </w:rPr>
        <w:t xml:space="preserve"> TPY)</w:t>
      </w:r>
      <w:r>
        <w:rPr>
          <w:b w:val="0"/>
          <w:bCs w:val="0"/>
        </w:rPr>
        <w:t xml:space="preserve"> emissions to increase</w:t>
      </w:r>
      <w:r w:rsidR="0046750E">
        <w:rPr>
          <w:b w:val="0"/>
          <w:bCs w:val="0"/>
        </w:rPr>
        <w:t xml:space="preserve">. </w:t>
      </w:r>
    </w:p>
    <w:p w:rsidR="008A54A7" w:rsidRDefault="008A54A7">
      <w:pPr>
        <w:pStyle w:val="Title"/>
        <w:jc w:val="left"/>
        <w:rPr>
          <w:b w:val="0"/>
          <w:bCs w:val="0"/>
        </w:rPr>
      </w:pPr>
    </w:p>
    <w:p w:rsidR="008A54A7" w:rsidRPr="00F65D87" w:rsidRDefault="008A54A7">
      <w:pPr>
        <w:pStyle w:val="Title"/>
        <w:jc w:val="left"/>
        <w:rPr>
          <w:b w:val="0"/>
          <w:bCs w:val="0"/>
        </w:rPr>
      </w:pPr>
      <w:r w:rsidRPr="00F65D87">
        <w:rPr>
          <w:b w:val="0"/>
          <w:bCs w:val="0"/>
          <w:u w:val="single"/>
        </w:rPr>
        <w:t>EMISSION CHANGES</w:t>
      </w:r>
    </w:p>
    <w:p w:rsidR="008A54A7" w:rsidRDefault="008A54A7">
      <w:pPr>
        <w:pStyle w:val="Title"/>
        <w:jc w:val="left"/>
        <w:rPr>
          <w:b w:val="0"/>
          <w:bCs w:val="0"/>
        </w:rPr>
      </w:pPr>
    </w:p>
    <w:tbl>
      <w:tblPr>
        <w:tblStyle w:val="TableGrid"/>
        <w:tblW w:w="8640" w:type="dxa"/>
        <w:jc w:val="center"/>
        <w:tblLayout w:type="fixed"/>
        <w:tblLook w:val="04A0" w:firstRow="1" w:lastRow="0" w:firstColumn="1" w:lastColumn="0" w:noHBand="0" w:noVBand="1"/>
      </w:tblPr>
      <w:tblGrid>
        <w:gridCol w:w="1656"/>
        <w:gridCol w:w="1396"/>
        <w:gridCol w:w="1396"/>
        <w:gridCol w:w="1396"/>
        <w:gridCol w:w="1396"/>
        <w:gridCol w:w="1400"/>
      </w:tblGrid>
      <w:tr w:rsidR="00143C1A" w:rsidTr="00143C1A">
        <w:trPr>
          <w:trHeight w:val="232"/>
          <w:jc w:val="center"/>
        </w:trPr>
        <w:tc>
          <w:tcPr>
            <w:tcW w:w="1099" w:type="dxa"/>
            <w:tcBorders>
              <w:top w:val="single" w:sz="4" w:space="0" w:color="FFFFFF" w:themeColor="background1"/>
              <w:left w:val="single" w:sz="4" w:space="0" w:color="FFFFFF" w:themeColor="background1"/>
            </w:tcBorders>
            <w:shd w:val="clear" w:color="auto" w:fill="FFFFFF" w:themeFill="background1"/>
          </w:tcPr>
          <w:p w:rsidR="00143C1A" w:rsidRPr="004872E5" w:rsidRDefault="00143C1A" w:rsidP="00382C15">
            <w:pPr>
              <w:pStyle w:val="Title"/>
              <w:jc w:val="left"/>
              <w:rPr>
                <w:b w:val="0"/>
                <w:bCs w:val="0"/>
                <w:sz w:val="20"/>
                <w:szCs w:val="20"/>
              </w:rPr>
            </w:pPr>
          </w:p>
        </w:tc>
        <w:tc>
          <w:tcPr>
            <w:tcW w:w="4633" w:type="dxa"/>
            <w:gridSpan w:val="5"/>
            <w:tcBorders>
              <w:right w:val="single" w:sz="12" w:space="0" w:color="auto"/>
            </w:tcBorders>
            <w:shd w:val="clear" w:color="auto" w:fill="D9D9D9" w:themeFill="background1" w:themeFillShade="D9"/>
            <w:vAlign w:val="center"/>
          </w:tcPr>
          <w:p w:rsidR="00143C1A" w:rsidRPr="004872E5" w:rsidRDefault="00143C1A" w:rsidP="00497974">
            <w:pPr>
              <w:pStyle w:val="Title"/>
              <w:rPr>
                <w:b w:val="0"/>
                <w:bCs w:val="0"/>
                <w:sz w:val="20"/>
                <w:szCs w:val="20"/>
              </w:rPr>
            </w:pPr>
            <w:r w:rsidRPr="004872E5">
              <w:rPr>
                <w:b w:val="0"/>
                <w:bCs w:val="0"/>
                <w:sz w:val="20"/>
                <w:szCs w:val="20"/>
              </w:rPr>
              <w:t>Emission Calculations (TPY)</w:t>
            </w:r>
          </w:p>
        </w:tc>
      </w:tr>
      <w:tr w:rsidR="00143C1A" w:rsidTr="00143C1A">
        <w:trPr>
          <w:trHeight w:val="947"/>
          <w:jc w:val="center"/>
        </w:trPr>
        <w:tc>
          <w:tcPr>
            <w:tcW w:w="1099" w:type="dxa"/>
            <w:shd w:val="clear" w:color="auto" w:fill="D9D9D9" w:themeFill="background1" w:themeFillShade="D9"/>
            <w:vAlign w:val="center"/>
          </w:tcPr>
          <w:p w:rsidR="00143C1A" w:rsidRDefault="00143C1A" w:rsidP="00143C1A">
            <w:pPr>
              <w:pStyle w:val="Title"/>
              <w:rPr>
                <w:b w:val="0"/>
                <w:bCs w:val="0"/>
                <w:sz w:val="20"/>
                <w:szCs w:val="20"/>
              </w:rPr>
            </w:pPr>
            <w:r>
              <w:rPr>
                <w:b w:val="0"/>
                <w:bCs w:val="0"/>
                <w:sz w:val="20"/>
                <w:szCs w:val="20"/>
              </w:rPr>
              <w:t>Facility</w:t>
            </w:r>
          </w:p>
          <w:p w:rsidR="00143C1A" w:rsidRDefault="00143C1A" w:rsidP="00143C1A">
            <w:pPr>
              <w:pStyle w:val="Title"/>
              <w:rPr>
                <w:b w:val="0"/>
                <w:bCs w:val="0"/>
                <w:sz w:val="20"/>
                <w:szCs w:val="20"/>
              </w:rPr>
            </w:pPr>
            <w:r>
              <w:rPr>
                <w:b w:val="0"/>
                <w:bCs w:val="0"/>
                <w:sz w:val="20"/>
                <w:szCs w:val="20"/>
              </w:rPr>
              <w:t>Wide</w:t>
            </w:r>
          </w:p>
          <w:p w:rsidR="00143C1A" w:rsidRPr="004872E5" w:rsidRDefault="00143C1A" w:rsidP="00143C1A">
            <w:pPr>
              <w:pStyle w:val="Title"/>
              <w:rPr>
                <w:b w:val="0"/>
                <w:bCs w:val="0"/>
                <w:sz w:val="20"/>
                <w:szCs w:val="20"/>
              </w:rPr>
            </w:pPr>
            <w:r>
              <w:rPr>
                <w:b w:val="0"/>
                <w:bCs w:val="0"/>
                <w:sz w:val="20"/>
                <w:szCs w:val="20"/>
              </w:rPr>
              <w:t>Emissions</w:t>
            </w:r>
          </w:p>
        </w:tc>
        <w:tc>
          <w:tcPr>
            <w:tcW w:w="926" w:type="dxa"/>
            <w:shd w:val="clear" w:color="auto" w:fill="D9D9D9" w:themeFill="background1" w:themeFillShade="D9"/>
            <w:vAlign w:val="center"/>
          </w:tcPr>
          <w:p w:rsidR="00143C1A" w:rsidRPr="004872E5" w:rsidRDefault="00143C1A" w:rsidP="00497974">
            <w:pPr>
              <w:pStyle w:val="Title"/>
              <w:rPr>
                <w:b w:val="0"/>
                <w:bCs w:val="0"/>
                <w:sz w:val="20"/>
                <w:szCs w:val="20"/>
              </w:rPr>
            </w:pPr>
            <w:r w:rsidRPr="004872E5">
              <w:rPr>
                <w:b w:val="0"/>
                <w:bCs w:val="0"/>
                <w:sz w:val="20"/>
                <w:szCs w:val="20"/>
              </w:rPr>
              <w:t>PM</w:t>
            </w:r>
          </w:p>
        </w:tc>
        <w:tc>
          <w:tcPr>
            <w:tcW w:w="926" w:type="dxa"/>
            <w:shd w:val="clear" w:color="auto" w:fill="D9D9D9" w:themeFill="background1" w:themeFillShade="D9"/>
            <w:vAlign w:val="center"/>
          </w:tcPr>
          <w:p w:rsidR="00143C1A" w:rsidRPr="004872E5" w:rsidRDefault="00143C1A" w:rsidP="00497974">
            <w:pPr>
              <w:pStyle w:val="Title"/>
              <w:rPr>
                <w:b w:val="0"/>
                <w:bCs w:val="0"/>
                <w:sz w:val="20"/>
                <w:szCs w:val="20"/>
                <w:vertAlign w:val="subscript"/>
              </w:rPr>
            </w:pPr>
            <w:r w:rsidRPr="004872E5">
              <w:rPr>
                <w:b w:val="0"/>
                <w:bCs w:val="0"/>
                <w:sz w:val="20"/>
                <w:szCs w:val="20"/>
              </w:rPr>
              <w:t>NO</w:t>
            </w:r>
            <w:r w:rsidRPr="004872E5">
              <w:rPr>
                <w:b w:val="0"/>
                <w:bCs w:val="0"/>
                <w:sz w:val="20"/>
                <w:szCs w:val="20"/>
                <w:vertAlign w:val="subscript"/>
              </w:rPr>
              <w:t>x</w:t>
            </w:r>
          </w:p>
        </w:tc>
        <w:tc>
          <w:tcPr>
            <w:tcW w:w="926" w:type="dxa"/>
            <w:shd w:val="clear" w:color="auto" w:fill="D9D9D9" w:themeFill="background1" w:themeFillShade="D9"/>
            <w:vAlign w:val="center"/>
          </w:tcPr>
          <w:p w:rsidR="00143C1A" w:rsidRPr="004872E5" w:rsidRDefault="00143C1A" w:rsidP="00497974">
            <w:pPr>
              <w:pStyle w:val="Title"/>
              <w:rPr>
                <w:b w:val="0"/>
                <w:bCs w:val="0"/>
                <w:sz w:val="20"/>
                <w:szCs w:val="20"/>
              </w:rPr>
            </w:pPr>
            <w:r w:rsidRPr="004872E5">
              <w:rPr>
                <w:b w:val="0"/>
                <w:bCs w:val="0"/>
                <w:sz w:val="20"/>
                <w:szCs w:val="20"/>
              </w:rPr>
              <w:t>CO</w:t>
            </w:r>
          </w:p>
        </w:tc>
        <w:tc>
          <w:tcPr>
            <w:tcW w:w="926" w:type="dxa"/>
            <w:shd w:val="clear" w:color="auto" w:fill="D9D9D9" w:themeFill="background1" w:themeFillShade="D9"/>
            <w:vAlign w:val="center"/>
          </w:tcPr>
          <w:p w:rsidR="00143C1A" w:rsidRPr="004872E5" w:rsidRDefault="00143C1A" w:rsidP="00497974">
            <w:pPr>
              <w:pStyle w:val="Title"/>
              <w:rPr>
                <w:b w:val="0"/>
                <w:bCs w:val="0"/>
                <w:sz w:val="20"/>
                <w:szCs w:val="20"/>
              </w:rPr>
            </w:pPr>
            <w:r w:rsidRPr="004872E5">
              <w:rPr>
                <w:b w:val="0"/>
                <w:bCs w:val="0"/>
                <w:sz w:val="20"/>
                <w:szCs w:val="20"/>
              </w:rPr>
              <w:t>VOC</w:t>
            </w:r>
          </w:p>
        </w:tc>
        <w:tc>
          <w:tcPr>
            <w:tcW w:w="926" w:type="dxa"/>
            <w:tcBorders>
              <w:right w:val="single" w:sz="12" w:space="0" w:color="auto"/>
            </w:tcBorders>
            <w:shd w:val="clear" w:color="auto" w:fill="D9D9D9" w:themeFill="background1" w:themeFillShade="D9"/>
            <w:vAlign w:val="center"/>
          </w:tcPr>
          <w:p w:rsidR="00143C1A" w:rsidRPr="004872E5" w:rsidRDefault="00143C1A" w:rsidP="00497974">
            <w:pPr>
              <w:pStyle w:val="Title"/>
              <w:rPr>
                <w:b w:val="0"/>
                <w:bCs w:val="0"/>
                <w:sz w:val="20"/>
                <w:szCs w:val="20"/>
              </w:rPr>
            </w:pPr>
            <w:r w:rsidRPr="004872E5">
              <w:rPr>
                <w:b w:val="0"/>
                <w:bCs w:val="0"/>
                <w:sz w:val="20"/>
                <w:szCs w:val="20"/>
              </w:rPr>
              <w:t>HAPs</w:t>
            </w:r>
          </w:p>
        </w:tc>
      </w:tr>
      <w:tr w:rsidR="00143C1A" w:rsidTr="00143C1A">
        <w:trPr>
          <w:trHeight w:val="714"/>
          <w:jc w:val="center"/>
        </w:trPr>
        <w:tc>
          <w:tcPr>
            <w:tcW w:w="1099" w:type="dxa"/>
            <w:vAlign w:val="center"/>
          </w:tcPr>
          <w:p w:rsidR="00143C1A" w:rsidRDefault="00143C1A" w:rsidP="004E7E2F">
            <w:pPr>
              <w:pStyle w:val="Title"/>
              <w:rPr>
                <w:b w:val="0"/>
                <w:bCs w:val="0"/>
                <w:sz w:val="20"/>
                <w:szCs w:val="20"/>
              </w:rPr>
            </w:pPr>
            <w:r>
              <w:rPr>
                <w:b w:val="0"/>
                <w:bCs w:val="0"/>
                <w:sz w:val="20"/>
                <w:szCs w:val="20"/>
              </w:rPr>
              <w:t>Previous</w:t>
            </w:r>
          </w:p>
          <w:p w:rsidR="00143C1A" w:rsidRPr="004872E5" w:rsidRDefault="00143C1A" w:rsidP="004E7E2F">
            <w:pPr>
              <w:pStyle w:val="Title"/>
              <w:rPr>
                <w:b w:val="0"/>
                <w:bCs w:val="0"/>
                <w:sz w:val="20"/>
                <w:szCs w:val="20"/>
              </w:rPr>
            </w:pPr>
            <w:r>
              <w:rPr>
                <w:b w:val="0"/>
                <w:bCs w:val="0"/>
                <w:sz w:val="20"/>
                <w:szCs w:val="20"/>
              </w:rPr>
              <w:t>Application</w:t>
            </w:r>
          </w:p>
        </w:tc>
        <w:tc>
          <w:tcPr>
            <w:tcW w:w="926" w:type="dxa"/>
            <w:vAlign w:val="center"/>
          </w:tcPr>
          <w:p w:rsidR="00143C1A" w:rsidRPr="004872E5" w:rsidRDefault="00143C1A" w:rsidP="00497974">
            <w:pPr>
              <w:pStyle w:val="Title"/>
              <w:rPr>
                <w:b w:val="0"/>
                <w:bCs w:val="0"/>
                <w:sz w:val="20"/>
                <w:szCs w:val="20"/>
              </w:rPr>
            </w:pPr>
            <w:r>
              <w:rPr>
                <w:b w:val="0"/>
                <w:bCs w:val="0"/>
                <w:sz w:val="20"/>
                <w:szCs w:val="20"/>
              </w:rPr>
              <w:t>19.00</w:t>
            </w:r>
          </w:p>
        </w:tc>
        <w:tc>
          <w:tcPr>
            <w:tcW w:w="926" w:type="dxa"/>
            <w:vAlign w:val="center"/>
          </w:tcPr>
          <w:p w:rsidR="00143C1A" w:rsidRPr="004872E5" w:rsidRDefault="00143C1A" w:rsidP="00497974">
            <w:pPr>
              <w:pStyle w:val="Title"/>
              <w:rPr>
                <w:b w:val="0"/>
                <w:bCs w:val="0"/>
                <w:sz w:val="20"/>
                <w:szCs w:val="20"/>
              </w:rPr>
            </w:pPr>
            <w:r>
              <w:rPr>
                <w:b w:val="0"/>
                <w:bCs w:val="0"/>
                <w:sz w:val="20"/>
                <w:szCs w:val="20"/>
              </w:rPr>
              <w:t>17.41</w:t>
            </w:r>
          </w:p>
        </w:tc>
        <w:tc>
          <w:tcPr>
            <w:tcW w:w="926" w:type="dxa"/>
            <w:vAlign w:val="center"/>
          </w:tcPr>
          <w:p w:rsidR="00143C1A" w:rsidRPr="004872E5" w:rsidRDefault="00143C1A" w:rsidP="00497974">
            <w:pPr>
              <w:pStyle w:val="Title"/>
              <w:rPr>
                <w:b w:val="0"/>
                <w:bCs w:val="0"/>
                <w:sz w:val="20"/>
                <w:szCs w:val="20"/>
              </w:rPr>
            </w:pPr>
            <w:r>
              <w:rPr>
                <w:b w:val="0"/>
                <w:bCs w:val="0"/>
                <w:sz w:val="20"/>
                <w:szCs w:val="20"/>
              </w:rPr>
              <w:t>26.82</w:t>
            </w:r>
          </w:p>
        </w:tc>
        <w:tc>
          <w:tcPr>
            <w:tcW w:w="926" w:type="dxa"/>
            <w:vAlign w:val="center"/>
          </w:tcPr>
          <w:p w:rsidR="00143C1A" w:rsidRPr="004872E5" w:rsidRDefault="00143C1A" w:rsidP="00497974">
            <w:pPr>
              <w:pStyle w:val="Title"/>
              <w:rPr>
                <w:b w:val="0"/>
                <w:bCs w:val="0"/>
                <w:sz w:val="20"/>
                <w:szCs w:val="20"/>
              </w:rPr>
            </w:pPr>
            <w:r>
              <w:rPr>
                <w:b w:val="0"/>
                <w:bCs w:val="0"/>
                <w:sz w:val="20"/>
                <w:szCs w:val="20"/>
              </w:rPr>
              <w:t>94.47</w:t>
            </w:r>
          </w:p>
        </w:tc>
        <w:tc>
          <w:tcPr>
            <w:tcW w:w="926" w:type="dxa"/>
            <w:tcBorders>
              <w:right w:val="single" w:sz="12" w:space="0" w:color="auto"/>
            </w:tcBorders>
            <w:vAlign w:val="center"/>
          </w:tcPr>
          <w:p w:rsidR="00143C1A" w:rsidRPr="004872E5" w:rsidRDefault="00143C1A" w:rsidP="00497974">
            <w:pPr>
              <w:pStyle w:val="Title"/>
              <w:rPr>
                <w:b w:val="0"/>
                <w:bCs w:val="0"/>
                <w:sz w:val="20"/>
                <w:szCs w:val="20"/>
              </w:rPr>
            </w:pPr>
            <w:r>
              <w:rPr>
                <w:b w:val="0"/>
                <w:bCs w:val="0"/>
                <w:sz w:val="20"/>
                <w:szCs w:val="20"/>
              </w:rPr>
              <w:t>1.09</w:t>
            </w:r>
          </w:p>
        </w:tc>
      </w:tr>
      <w:tr w:rsidR="00143C1A" w:rsidTr="00143C1A">
        <w:trPr>
          <w:trHeight w:val="714"/>
          <w:jc w:val="center"/>
        </w:trPr>
        <w:tc>
          <w:tcPr>
            <w:tcW w:w="1099" w:type="dxa"/>
            <w:vAlign w:val="center"/>
          </w:tcPr>
          <w:p w:rsidR="00143C1A" w:rsidRDefault="00143C1A" w:rsidP="004E7E2F">
            <w:pPr>
              <w:pStyle w:val="Title"/>
              <w:rPr>
                <w:b w:val="0"/>
                <w:bCs w:val="0"/>
                <w:sz w:val="20"/>
                <w:szCs w:val="20"/>
              </w:rPr>
            </w:pPr>
            <w:r>
              <w:rPr>
                <w:b w:val="0"/>
                <w:bCs w:val="0"/>
                <w:sz w:val="20"/>
                <w:szCs w:val="20"/>
              </w:rPr>
              <w:t>Current</w:t>
            </w:r>
          </w:p>
          <w:p w:rsidR="00143C1A" w:rsidRDefault="00143C1A" w:rsidP="004E7E2F">
            <w:pPr>
              <w:pStyle w:val="Title"/>
              <w:rPr>
                <w:b w:val="0"/>
                <w:bCs w:val="0"/>
                <w:sz w:val="20"/>
                <w:szCs w:val="20"/>
              </w:rPr>
            </w:pPr>
            <w:r>
              <w:rPr>
                <w:b w:val="0"/>
                <w:bCs w:val="0"/>
                <w:sz w:val="20"/>
                <w:szCs w:val="20"/>
              </w:rPr>
              <w:t>Application</w:t>
            </w:r>
          </w:p>
        </w:tc>
        <w:tc>
          <w:tcPr>
            <w:tcW w:w="926" w:type="dxa"/>
            <w:vAlign w:val="center"/>
          </w:tcPr>
          <w:p w:rsidR="00143C1A" w:rsidRDefault="00143C1A" w:rsidP="00497974">
            <w:pPr>
              <w:pStyle w:val="Title"/>
              <w:rPr>
                <w:b w:val="0"/>
                <w:bCs w:val="0"/>
                <w:sz w:val="20"/>
                <w:szCs w:val="20"/>
              </w:rPr>
            </w:pPr>
            <w:r>
              <w:rPr>
                <w:b w:val="0"/>
                <w:bCs w:val="0"/>
                <w:sz w:val="20"/>
                <w:szCs w:val="20"/>
              </w:rPr>
              <w:t>19.27</w:t>
            </w:r>
          </w:p>
        </w:tc>
        <w:tc>
          <w:tcPr>
            <w:tcW w:w="926" w:type="dxa"/>
            <w:vAlign w:val="center"/>
          </w:tcPr>
          <w:p w:rsidR="00143C1A" w:rsidRDefault="00143C1A" w:rsidP="00497974">
            <w:pPr>
              <w:pStyle w:val="Title"/>
              <w:rPr>
                <w:b w:val="0"/>
                <w:bCs w:val="0"/>
                <w:sz w:val="20"/>
                <w:szCs w:val="20"/>
              </w:rPr>
            </w:pPr>
            <w:r>
              <w:rPr>
                <w:b w:val="0"/>
                <w:bCs w:val="0"/>
                <w:sz w:val="20"/>
                <w:szCs w:val="20"/>
              </w:rPr>
              <w:t>23.29</w:t>
            </w:r>
          </w:p>
        </w:tc>
        <w:tc>
          <w:tcPr>
            <w:tcW w:w="926" w:type="dxa"/>
            <w:vAlign w:val="center"/>
          </w:tcPr>
          <w:p w:rsidR="00143C1A" w:rsidRPr="004872E5" w:rsidRDefault="00143C1A" w:rsidP="00497974">
            <w:pPr>
              <w:pStyle w:val="Title"/>
              <w:rPr>
                <w:b w:val="0"/>
                <w:bCs w:val="0"/>
                <w:sz w:val="20"/>
                <w:szCs w:val="20"/>
              </w:rPr>
            </w:pPr>
            <w:r>
              <w:rPr>
                <w:b w:val="0"/>
                <w:bCs w:val="0"/>
                <w:sz w:val="20"/>
                <w:szCs w:val="20"/>
              </w:rPr>
              <w:t>30.54</w:t>
            </w:r>
          </w:p>
        </w:tc>
        <w:tc>
          <w:tcPr>
            <w:tcW w:w="926" w:type="dxa"/>
            <w:vAlign w:val="center"/>
          </w:tcPr>
          <w:p w:rsidR="00143C1A" w:rsidRPr="004872E5" w:rsidRDefault="00143C1A" w:rsidP="00497974">
            <w:pPr>
              <w:pStyle w:val="Title"/>
              <w:rPr>
                <w:b w:val="0"/>
                <w:bCs w:val="0"/>
                <w:sz w:val="20"/>
                <w:szCs w:val="20"/>
              </w:rPr>
            </w:pPr>
            <w:r>
              <w:rPr>
                <w:b w:val="0"/>
                <w:bCs w:val="0"/>
                <w:sz w:val="20"/>
                <w:szCs w:val="20"/>
              </w:rPr>
              <w:t>95.06</w:t>
            </w:r>
          </w:p>
        </w:tc>
        <w:tc>
          <w:tcPr>
            <w:tcW w:w="926" w:type="dxa"/>
            <w:tcBorders>
              <w:right w:val="single" w:sz="12" w:space="0" w:color="auto"/>
            </w:tcBorders>
            <w:vAlign w:val="center"/>
          </w:tcPr>
          <w:p w:rsidR="00143C1A" w:rsidRPr="004872E5" w:rsidRDefault="00143C1A" w:rsidP="00497974">
            <w:pPr>
              <w:pStyle w:val="Title"/>
              <w:rPr>
                <w:b w:val="0"/>
                <w:bCs w:val="0"/>
                <w:sz w:val="20"/>
                <w:szCs w:val="20"/>
              </w:rPr>
            </w:pPr>
            <w:r>
              <w:rPr>
                <w:b w:val="0"/>
                <w:bCs w:val="0"/>
                <w:sz w:val="20"/>
                <w:szCs w:val="20"/>
              </w:rPr>
              <w:t>1.26</w:t>
            </w:r>
          </w:p>
        </w:tc>
      </w:tr>
      <w:tr w:rsidR="00143C1A" w:rsidTr="00143C1A">
        <w:trPr>
          <w:trHeight w:val="232"/>
          <w:jc w:val="center"/>
        </w:trPr>
        <w:tc>
          <w:tcPr>
            <w:tcW w:w="1099" w:type="dxa"/>
            <w:tcBorders>
              <w:top w:val="single" w:sz="12" w:space="0" w:color="auto"/>
            </w:tcBorders>
            <w:vAlign w:val="center"/>
          </w:tcPr>
          <w:p w:rsidR="00143C1A" w:rsidRPr="004872E5" w:rsidRDefault="00143C1A" w:rsidP="00143C1A">
            <w:pPr>
              <w:pStyle w:val="Title"/>
              <w:rPr>
                <w:b w:val="0"/>
                <w:bCs w:val="0"/>
                <w:sz w:val="20"/>
                <w:szCs w:val="20"/>
              </w:rPr>
            </w:pPr>
            <w:r>
              <w:rPr>
                <w:bCs w:val="0"/>
                <w:sz w:val="20"/>
                <w:szCs w:val="20"/>
              </w:rPr>
              <w:t>Increase</w:t>
            </w:r>
          </w:p>
        </w:tc>
        <w:tc>
          <w:tcPr>
            <w:tcW w:w="926" w:type="dxa"/>
            <w:tcBorders>
              <w:top w:val="single" w:sz="12" w:space="0" w:color="auto"/>
            </w:tcBorders>
            <w:vAlign w:val="center"/>
          </w:tcPr>
          <w:p w:rsidR="00143C1A" w:rsidRPr="004872E5" w:rsidRDefault="00143C1A" w:rsidP="008B1679">
            <w:pPr>
              <w:pStyle w:val="Title"/>
              <w:rPr>
                <w:b w:val="0"/>
                <w:bCs w:val="0"/>
                <w:sz w:val="20"/>
                <w:szCs w:val="20"/>
              </w:rPr>
            </w:pPr>
            <w:r>
              <w:rPr>
                <w:b w:val="0"/>
                <w:bCs w:val="0"/>
                <w:sz w:val="20"/>
                <w:szCs w:val="20"/>
              </w:rPr>
              <w:t>0.27</w:t>
            </w:r>
          </w:p>
        </w:tc>
        <w:tc>
          <w:tcPr>
            <w:tcW w:w="926" w:type="dxa"/>
            <w:tcBorders>
              <w:top w:val="single" w:sz="12" w:space="0" w:color="auto"/>
            </w:tcBorders>
            <w:vAlign w:val="center"/>
          </w:tcPr>
          <w:p w:rsidR="00143C1A" w:rsidRPr="004872E5" w:rsidRDefault="00143C1A" w:rsidP="008B1679">
            <w:pPr>
              <w:pStyle w:val="Title"/>
              <w:rPr>
                <w:b w:val="0"/>
                <w:bCs w:val="0"/>
                <w:sz w:val="20"/>
                <w:szCs w:val="20"/>
              </w:rPr>
            </w:pPr>
            <w:r>
              <w:rPr>
                <w:b w:val="0"/>
                <w:bCs w:val="0"/>
                <w:sz w:val="20"/>
                <w:szCs w:val="20"/>
              </w:rPr>
              <w:t>5.88</w:t>
            </w:r>
          </w:p>
        </w:tc>
        <w:tc>
          <w:tcPr>
            <w:tcW w:w="926" w:type="dxa"/>
            <w:tcBorders>
              <w:top w:val="single" w:sz="12" w:space="0" w:color="auto"/>
            </w:tcBorders>
            <w:vAlign w:val="center"/>
          </w:tcPr>
          <w:p w:rsidR="00143C1A" w:rsidRPr="004872E5" w:rsidRDefault="00143C1A" w:rsidP="008B1679">
            <w:pPr>
              <w:pStyle w:val="Title"/>
              <w:rPr>
                <w:b w:val="0"/>
                <w:bCs w:val="0"/>
                <w:sz w:val="20"/>
                <w:szCs w:val="20"/>
              </w:rPr>
            </w:pPr>
            <w:r>
              <w:rPr>
                <w:b w:val="0"/>
                <w:bCs w:val="0"/>
                <w:sz w:val="20"/>
                <w:szCs w:val="20"/>
              </w:rPr>
              <w:t>3.72</w:t>
            </w:r>
          </w:p>
        </w:tc>
        <w:tc>
          <w:tcPr>
            <w:tcW w:w="926" w:type="dxa"/>
            <w:tcBorders>
              <w:top w:val="single" w:sz="12" w:space="0" w:color="auto"/>
            </w:tcBorders>
            <w:vAlign w:val="center"/>
          </w:tcPr>
          <w:p w:rsidR="00143C1A" w:rsidRPr="004872E5" w:rsidRDefault="00143C1A" w:rsidP="008B1679">
            <w:pPr>
              <w:pStyle w:val="Title"/>
              <w:rPr>
                <w:b w:val="0"/>
                <w:bCs w:val="0"/>
                <w:sz w:val="20"/>
                <w:szCs w:val="20"/>
              </w:rPr>
            </w:pPr>
            <w:r>
              <w:rPr>
                <w:b w:val="0"/>
                <w:bCs w:val="0"/>
                <w:sz w:val="20"/>
                <w:szCs w:val="20"/>
              </w:rPr>
              <w:t>0.59</w:t>
            </w:r>
          </w:p>
        </w:tc>
        <w:tc>
          <w:tcPr>
            <w:tcW w:w="926" w:type="dxa"/>
            <w:tcBorders>
              <w:top w:val="single" w:sz="12" w:space="0" w:color="auto"/>
            </w:tcBorders>
            <w:vAlign w:val="center"/>
          </w:tcPr>
          <w:p w:rsidR="00143C1A" w:rsidRPr="004872E5" w:rsidRDefault="00143C1A" w:rsidP="008B1679">
            <w:pPr>
              <w:pStyle w:val="Title"/>
              <w:rPr>
                <w:b w:val="0"/>
                <w:bCs w:val="0"/>
                <w:sz w:val="20"/>
                <w:szCs w:val="20"/>
              </w:rPr>
            </w:pPr>
            <w:r>
              <w:rPr>
                <w:b w:val="0"/>
                <w:bCs w:val="0"/>
                <w:sz w:val="20"/>
                <w:szCs w:val="20"/>
              </w:rPr>
              <w:t>0.15</w:t>
            </w:r>
          </w:p>
        </w:tc>
      </w:tr>
    </w:tbl>
    <w:p w:rsidR="008B1679" w:rsidRDefault="008B1679">
      <w:pPr>
        <w:pStyle w:val="Title"/>
        <w:jc w:val="left"/>
        <w:rPr>
          <w:rFonts w:ascii="Tms Rmn" w:hAnsi="Tms Rmn" w:cs="Tms Rmn"/>
          <w:color w:val="000000"/>
          <w:u w:val="single"/>
        </w:rPr>
      </w:pPr>
    </w:p>
    <w:p w:rsidR="00833D26" w:rsidRPr="007F789D" w:rsidRDefault="00143C1A">
      <w:pPr>
        <w:pStyle w:val="Title"/>
        <w:jc w:val="left"/>
        <w:rPr>
          <w:color w:val="000000"/>
          <w:u w:val="single"/>
        </w:rPr>
      </w:pPr>
      <w:r>
        <w:rPr>
          <w:b w:val="0"/>
          <w:color w:val="000000"/>
        </w:rPr>
        <w:t xml:space="preserve">The increase in operational hours for AA-003 and AA-011 is </w:t>
      </w:r>
      <w:r w:rsidR="0080662F">
        <w:rPr>
          <w:b w:val="0"/>
          <w:color w:val="000000"/>
        </w:rPr>
        <w:t xml:space="preserve">for startup/shutdowns, boiler idle time </w:t>
      </w:r>
      <w:r w:rsidR="0080662F" w:rsidRPr="0080662F">
        <w:rPr>
          <w:b w:val="0"/>
          <w:color w:val="000000"/>
        </w:rPr>
        <w:t>w</w:t>
      </w:r>
      <w:r w:rsidR="0080662F">
        <w:rPr>
          <w:b w:val="0"/>
          <w:color w:val="000000"/>
        </w:rPr>
        <w:t>hen fish is not being processed</w:t>
      </w:r>
      <w:r w:rsidR="0080662F" w:rsidRPr="0080662F">
        <w:rPr>
          <w:b w:val="0"/>
          <w:color w:val="000000"/>
        </w:rPr>
        <w:t xml:space="preserve"> while waiting for fish to arrive</w:t>
      </w:r>
      <w:r w:rsidR="0080662F">
        <w:rPr>
          <w:b w:val="0"/>
          <w:color w:val="000000"/>
        </w:rPr>
        <w:t>, and during equipment failure. The increased hours will also be used for wash down of equipment, boiler maintenance, and boiler tuning.</w:t>
      </w:r>
      <w:r w:rsidR="00833D26" w:rsidRPr="007F789D">
        <w:rPr>
          <w:b w:val="0"/>
          <w:color w:val="000000"/>
        </w:rPr>
        <w:br w:type="page"/>
      </w:r>
    </w:p>
    <w:p w:rsidR="00833D26" w:rsidRPr="007F789D" w:rsidRDefault="00F65D87">
      <w:pPr>
        <w:pStyle w:val="Title"/>
        <w:jc w:val="left"/>
        <w:rPr>
          <w:b w:val="0"/>
          <w:color w:val="000000"/>
          <w:u w:val="single"/>
        </w:rPr>
      </w:pPr>
      <w:r w:rsidRPr="007F789D">
        <w:rPr>
          <w:b w:val="0"/>
          <w:color w:val="000000"/>
          <w:u w:val="single"/>
        </w:rPr>
        <w:lastRenderedPageBreak/>
        <w:t>NSPS AND SPECIFIC APPLICABLE REQUIREMENTS</w:t>
      </w:r>
    </w:p>
    <w:p w:rsidR="00833D26" w:rsidRPr="007F789D" w:rsidRDefault="00833D26">
      <w:pPr>
        <w:pStyle w:val="Title"/>
        <w:jc w:val="left"/>
        <w:rPr>
          <w:b w:val="0"/>
          <w:color w:val="000000"/>
        </w:rPr>
      </w:pPr>
    </w:p>
    <w:p w:rsidR="00F65D87" w:rsidRPr="007F789D" w:rsidRDefault="00734197" w:rsidP="00F65D87">
      <w:pPr>
        <w:jc w:val="both"/>
      </w:pPr>
      <w:r w:rsidRPr="007F789D">
        <w:t xml:space="preserve">Emission Points </w:t>
      </w:r>
      <w:r w:rsidR="0080662F">
        <w:t xml:space="preserve">AA-003 and </w:t>
      </w:r>
      <w:r w:rsidRPr="007F789D">
        <w:t>AA-0</w:t>
      </w:r>
      <w:r w:rsidR="00F65D87" w:rsidRPr="007F789D">
        <w:t>1</w:t>
      </w:r>
      <w:r w:rsidRPr="007F789D">
        <w:t>1</w:t>
      </w:r>
      <w:r w:rsidR="0080662F">
        <w:t xml:space="preserve"> are </w:t>
      </w:r>
      <w:r w:rsidR="00F65D87" w:rsidRPr="007F789D">
        <w:t>natural gas units</w:t>
      </w:r>
      <w:r w:rsidR="0080662F">
        <w:t>, and t</w:t>
      </w:r>
      <w:r w:rsidR="00F65D87" w:rsidRPr="007F789D">
        <w:t xml:space="preserve">he units are subject to state standards for particulate matter, sulfur dioxide and opacity. Since natural gas </w:t>
      </w:r>
      <w:r w:rsidR="0080662F">
        <w:t>is a relatively clean burning fuel</w:t>
      </w:r>
      <w:r w:rsidR="00F65D87" w:rsidRPr="007F789D">
        <w:t>, the units should have a large margin of compliance with the PM, SO</w:t>
      </w:r>
      <w:r w:rsidR="00F65D87" w:rsidRPr="007F789D">
        <w:rPr>
          <w:vertAlign w:val="subscript"/>
        </w:rPr>
        <w:t>2</w:t>
      </w:r>
      <w:r w:rsidR="00F65D87" w:rsidRPr="007F789D">
        <w:t xml:space="preserve"> and Opacity standards.</w:t>
      </w:r>
    </w:p>
    <w:p w:rsidR="00245CA7" w:rsidRPr="007F789D" w:rsidRDefault="00245CA7">
      <w:pPr>
        <w:pStyle w:val="Title"/>
        <w:jc w:val="left"/>
        <w:rPr>
          <w:color w:val="000000"/>
          <w:u w:val="single"/>
        </w:rPr>
      </w:pPr>
    </w:p>
    <w:p w:rsidR="00245CA7" w:rsidRPr="007F789D" w:rsidRDefault="00245CA7">
      <w:pPr>
        <w:pStyle w:val="Title"/>
        <w:jc w:val="left"/>
        <w:rPr>
          <w:b w:val="0"/>
          <w:color w:val="000000"/>
          <w:u w:val="single"/>
        </w:rPr>
      </w:pPr>
      <w:r w:rsidRPr="007F789D">
        <w:rPr>
          <w:b w:val="0"/>
          <w:color w:val="000000"/>
          <w:u w:val="single"/>
        </w:rPr>
        <w:t xml:space="preserve">MACT </w:t>
      </w:r>
      <w:r w:rsidR="006668B6">
        <w:rPr>
          <w:b w:val="0"/>
          <w:color w:val="000000"/>
          <w:u w:val="single"/>
        </w:rPr>
        <w:t>APPLICABILITY</w:t>
      </w:r>
    </w:p>
    <w:p w:rsidR="00245CA7" w:rsidRPr="007F789D" w:rsidRDefault="00245CA7">
      <w:pPr>
        <w:pStyle w:val="Title"/>
        <w:jc w:val="left"/>
        <w:rPr>
          <w:color w:val="000000"/>
          <w:u w:val="single"/>
        </w:rPr>
      </w:pPr>
    </w:p>
    <w:p w:rsidR="00F65D87" w:rsidRPr="007F789D" w:rsidRDefault="00F65D87" w:rsidP="00F65D87">
      <w:pPr>
        <w:jc w:val="both"/>
      </w:pPr>
      <w:r w:rsidRPr="007F789D">
        <w:t>Total HAP emissions from the facility a</w:t>
      </w:r>
      <w:r w:rsidR="000A442E">
        <w:t xml:space="preserve">re less than 10 tons per year. </w:t>
      </w:r>
      <w:r w:rsidRPr="007F789D">
        <w:t xml:space="preserve">Since the facility’s potential emissions are less than 25 tons per year total HAPs and less than 10 tons per year for all individual HAPs, the facility is an area source of HAP emissions.  </w:t>
      </w:r>
    </w:p>
    <w:p w:rsidR="00F65D87" w:rsidRPr="007F789D" w:rsidRDefault="00F65D87">
      <w:pPr>
        <w:pStyle w:val="Title"/>
        <w:jc w:val="left"/>
        <w:rPr>
          <w:b w:val="0"/>
          <w:color w:val="000000"/>
        </w:rPr>
      </w:pPr>
    </w:p>
    <w:p w:rsidR="00245CA7" w:rsidRPr="007F789D" w:rsidRDefault="000A442E">
      <w:pPr>
        <w:pStyle w:val="Title"/>
        <w:jc w:val="left"/>
        <w:rPr>
          <w:color w:val="000000"/>
          <w:u w:val="single"/>
        </w:rPr>
      </w:pPr>
      <w:r>
        <w:rPr>
          <w:b w:val="0"/>
          <w:color w:val="000000"/>
        </w:rPr>
        <w:t>Emission Points AA-003 and AA-011</w:t>
      </w:r>
      <w:r w:rsidR="00245CA7" w:rsidRPr="007F789D">
        <w:rPr>
          <w:b w:val="0"/>
          <w:color w:val="000000"/>
        </w:rPr>
        <w:t xml:space="preserve"> </w:t>
      </w:r>
      <w:r>
        <w:rPr>
          <w:b w:val="0"/>
          <w:color w:val="000000"/>
        </w:rPr>
        <w:t>are</w:t>
      </w:r>
      <w:r w:rsidR="00245CA7" w:rsidRPr="007F789D">
        <w:rPr>
          <w:b w:val="0"/>
          <w:color w:val="000000"/>
        </w:rPr>
        <w:t xml:space="preserve"> potentially subject to</w:t>
      </w:r>
      <w:r w:rsidR="00F65D87" w:rsidRPr="007F789D">
        <w:rPr>
          <w:b w:val="0"/>
          <w:color w:val="000000"/>
        </w:rPr>
        <w:t xml:space="preserve"> 40 CFR 63,</w:t>
      </w:r>
      <w:r w:rsidR="00245CA7" w:rsidRPr="007F789D">
        <w:rPr>
          <w:b w:val="0"/>
          <w:color w:val="000000"/>
        </w:rPr>
        <w:t xml:space="preserve"> Subpart JJJJJJ which regulates HAPs for industrial, commercial, and institutional boilers for facilities that are area sources of HAPs. However, the boilers used at Omega Protein are natural gas fired, </w:t>
      </w:r>
      <w:r w:rsidR="00F65D87" w:rsidRPr="007F789D">
        <w:rPr>
          <w:b w:val="0"/>
          <w:color w:val="000000"/>
        </w:rPr>
        <w:t xml:space="preserve">which makes them exempt </w:t>
      </w:r>
      <w:r w:rsidR="00245CA7" w:rsidRPr="007F789D">
        <w:rPr>
          <w:b w:val="0"/>
          <w:color w:val="000000"/>
        </w:rPr>
        <w:t>per 40 CFR 63.11195(e).</w:t>
      </w:r>
    </w:p>
    <w:p w:rsidR="0080662F" w:rsidRDefault="0080662F">
      <w:pPr>
        <w:pStyle w:val="Title"/>
        <w:jc w:val="left"/>
        <w:rPr>
          <w:b w:val="0"/>
          <w:color w:val="000000"/>
          <w:u w:val="single"/>
        </w:rPr>
      </w:pPr>
    </w:p>
    <w:p w:rsidR="00507AA1" w:rsidRPr="007F789D" w:rsidRDefault="00AE785C">
      <w:pPr>
        <w:pStyle w:val="Title"/>
        <w:jc w:val="left"/>
        <w:rPr>
          <w:b w:val="0"/>
          <w:color w:val="000000"/>
          <w:u w:val="single"/>
        </w:rPr>
      </w:pPr>
      <w:r w:rsidRPr="007F789D">
        <w:rPr>
          <w:b w:val="0"/>
          <w:color w:val="000000"/>
          <w:u w:val="single"/>
        </w:rPr>
        <w:t>EXISTING SYNTHETIC MINOR LIMITATIONS</w:t>
      </w:r>
      <w:r w:rsidR="00507AA1" w:rsidRPr="007F789D">
        <w:rPr>
          <w:b w:val="0"/>
          <w:color w:val="000000"/>
          <w:u w:val="single"/>
        </w:rPr>
        <w:t xml:space="preserve"> AND MONITORING REQUIRMENTS</w:t>
      </w:r>
    </w:p>
    <w:p w:rsidR="00AE785C" w:rsidRPr="007F789D" w:rsidRDefault="00AE785C">
      <w:pPr>
        <w:pStyle w:val="Title"/>
        <w:jc w:val="both"/>
        <w:rPr>
          <w:b w:val="0"/>
          <w:bCs w:val="0"/>
          <w:u w:val="single"/>
        </w:rPr>
      </w:pPr>
    </w:p>
    <w:p w:rsidR="00507AA1" w:rsidRPr="007F789D" w:rsidRDefault="00507AA1" w:rsidP="00507AA1">
      <w:pPr>
        <w:widowControl/>
        <w:rPr>
          <w:color w:val="000000"/>
        </w:rPr>
      </w:pPr>
      <w:r w:rsidRPr="007F789D">
        <w:rPr>
          <w:color w:val="000000"/>
        </w:rPr>
        <w:t>The following are proposed limitations and monitoring requirements are to keep the facility below the Title V Major Source Threshold of 100 tons per year for PM, PM</w:t>
      </w:r>
      <w:r w:rsidRPr="007F789D">
        <w:rPr>
          <w:color w:val="000000"/>
          <w:vertAlign w:val="subscript"/>
        </w:rPr>
        <w:t>10,</w:t>
      </w:r>
      <w:r w:rsidRPr="007F789D">
        <w:rPr>
          <w:color w:val="000000"/>
        </w:rPr>
        <w:t xml:space="preserve"> PM</w:t>
      </w:r>
      <w:r w:rsidRPr="007F789D">
        <w:rPr>
          <w:color w:val="000000"/>
          <w:vertAlign w:val="subscript"/>
        </w:rPr>
        <w:t>2.5</w:t>
      </w:r>
      <w:r w:rsidRPr="007F789D">
        <w:rPr>
          <w:color w:val="000000"/>
        </w:rPr>
        <w:t>, NO</w:t>
      </w:r>
      <w:r w:rsidRPr="007F789D">
        <w:rPr>
          <w:color w:val="000000"/>
          <w:vertAlign w:val="subscript"/>
        </w:rPr>
        <w:t>x</w:t>
      </w:r>
      <w:r w:rsidRPr="007F789D">
        <w:rPr>
          <w:color w:val="000000"/>
        </w:rPr>
        <w:t>, CO, and VOC:</w:t>
      </w:r>
    </w:p>
    <w:p w:rsidR="00507AA1" w:rsidRPr="007F789D" w:rsidRDefault="00507AA1" w:rsidP="00507AA1">
      <w:pPr>
        <w:widowControl/>
        <w:numPr>
          <w:ilvl w:val="0"/>
          <w:numId w:val="11"/>
        </w:numPr>
        <w:rPr>
          <w:color w:val="000000"/>
        </w:rPr>
      </w:pPr>
      <w:r w:rsidRPr="007F789D">
        <w:rPr>
          <w:color w:val="000000"/>
        </w:rPr>
        <w:t>The facility shall limit facility wide the emissions of Volatile Organic Compoun</w:t>
      </w:r>
      <w:r w:rsidR="0080662F">
        <w:rPr>
          <w:color w:val="000000"/>
        </w:rPr>
        <w:t>ds (VOCs) to 99.0 tons per year;</w:t>
      </w:r>
    </w:p>
    <w:p w:rsidR="00507AA1" w:rsidRPr="007F789D" w:rsidRDefault="00507AA1" w:rsidP="00507AA1">
      <w:pPr>
        <w:widowControl/>
        <w:numPr>
          <w:ilvl w:val="0"/>
          <w:numId w:val="11"/>
        </w:numPr>
        <w:rPr>
          <w:color w:val="000000"/>
        </w:rPr>
      </w:pPr>
      <w:r w:rsidRPr="007F789D">
        <w:rPr>
          <w:color w:val="000000"/>
        </w:rPr>
        <w:t>The facility shall</w:t>
      </w:r>
      <w:r w:rsidR="0080662F">
        <w:rPr>
          <w:color w:val="000000"/>
        </w:rPr>
        <w:t xml:space="preserve"> monitor the hours of operation;</w:t>
      </w:r>
    </w:p>
    <w:p w:rsidR="00507AA1" w:rsidRPr="007F789D" w:rsidRDefault="00507AA1" w:rsidP="00507AA1">
      <w:pPr>
        <w:widowControl/>
        <w:numPr>
          <w:ilvl w:val="0"/>
          <w:numId w:val="11"/>
        </w:numPr>
        <w:rPr>
          <w:color w:val="000000"/>
        </w:rPr>
      </w:pPr>
      <w:r w:rsidRPr="007F789D">
        <w:rPr>
          <w:color w:val="000000"/>
        </w:rPr>
        <w:t>The facility shall mon</w:t>
      </w:r>
      <w:r w:rsidR="0080662F">
        <w:rPr>
          <w:color w:val="000000"/>
        </w:rPr>
        <w:t>itor the tons of fish processed;</w:t>
      </w:r>
    </w:p>
    <w:p w:rsidR="00507AA1" w:rsidRPr="007F789D" w:rsidRDefault="00507AA1" w:rsidP="00507AA1">
      <w:pPr>
        <w:widowControl/>
        <w:numPr>
          <w:ilvl w:val="0"/>
          <w:numId w:val="11"/>
        </w:numPr>
        <w:rPr>
          <w:color w:val="000000"/>
        </w:rPr>
      </w:pPr>
      <w:r w:rsidRPr="007F789D">
        <w:rPr>
          <w:color w:val="000000"/>
        </w:rPr>
        <w:t>The facility shall operate emission control devic</w:t>
      </w:r>
      <w:r w:rsidR="0080662F">
        <w:rPr>
          <w:color w:val="000000"/>
        </w:rPr>
        <w:t xml:space="preserve">es </w:t>
      </w:r>
      <w:proofErr w:type="gramStart"/>
      <w:r w:rsidR="0080662F">
        <w:rPr>
          <w:color w:val="000000"/>
        </w:rPr>
        <w:t>at all times</w:t>
      </w:r>
      <w:proofErr w:type="gramEnd"/>
      <w:r w:rsidR="0080662F">
        <w:rPr>
          <w:color w:val="000000"/>
        </w:rPr>
        <w:t xml:space="preserve"> when processing;</w:t>
      </w:r>
    </w:p>
    <w:p w:rsidR="00507AA1" w:rsidRPr="007F789D" w:rsidRDefault="00507AA1" w:rsidP="00507AA1">
      <w:pPr>
        <w:widowControl/>
        <w:numPr>
          <w:ilvl w:val="0"/>
          <w:numId w:val="11"/>
        </w:numPr>
        <w:rPr>
          <w:color w:val="000000"/>
        </w:rPr>
      </w:pPr>
      <w:r w:rsidRPr="007F789D">
        <w:rPr>
          <w:color w:val="000000"/>
        </w:rPr>
        <w:t>106 MMBTU/</w:t>
      </w:r>
      <w:proofErr w:type="spellStart"/>
      <w:r w:rsidRPr="007F789D">
        <w:rPr>
          <w:color w:val="000000"/>
        </w:rPr>
        <w:t>hr</w:t>
      </w:r>
      <w:proofErr w:type="spellEnd"/>
      <w:r w:rsidRPr="007F789D">
        <w:rPr>
          <w:color w:val="000000"/>
        </w:rPr>
        <w:t xml:space="preserve"> Natural Gas Boiler (AA-011) and 73.3 MMBTU/</w:t>
      </w:r>
      <w:proofErr w:type="spellStart"/>
      <w:r w:rsidRPr="007F789D">
        <w:rPr>
          <w:color w:val="000000"/>
        </w:rPr>
        <w:t>hr</w:t>
      </w:r>
      <w:proofErr w:type="spellEnd"/>
      <w:r w:rsidRPr="007F789D">
        <w:rPr>
          <w:color w:val="000000"/>
        </w:rPr>
        <w:t xml:space="preserve"> Natural Gas Boiler (Group, AA-013) are exempt from 40 CFR 63 Subpart JJJJJJ because the emission points are defined by 63.11237 and exempted i</w:t>
      </w:r>
      <w:r w:rsidR="0080662F">
        <w:rPr>
          <w:color w:val="000000"/>
        </w:rPr>
        <w:t>n 63.11195(e);</w:t>
      </w:r>
    </w:p>
    <w:p w:rsidR="00470899" w:rsidRDefault="00470899" w:rsidP="00470899">
      <w:pPr>
        <w:widowControl/>
        <w:numPr>
          <w:ilvl w:val="0"/>
          <w:numId w:val="11"/>
        </w:numPr>
        <w:rPr>
          <w:color w:val="000000"/>
        </w:rPr>
      </w:pPr>
      <w:r w:rsidRPr="007F789D">
        <w:rPr>
          <w:color w:val="000000"/>
        </w:rPr>
        <w:t xml:space="preserve">The facility’s yearly hours of operation </w:t>
      </w:r>
      <w:proofErr w:type="gramStart"/>
      <w:r w:rsidRPr="007F789D">
        <w:rPr>
          <w:color w:val="000000"/>
        </w:rPr>
        <w:t>is</w:t>
      </w:r>
      <w:proofErr w:type="gramEnd"/>
      <w:r w:rsidRPr="007F789D">
        <w:rPr>
          <w:color w:val="000000"/>
        </w:rPr>
        <w:t xml:space="preserve"> limited to </w:t>
      </w:r>
      <w:r w:rsidR="0080662F">
        <w:rPr>
          <w:color w:val="000000"/>
        </w:rPr>
        <w:t>2,600 by the facility’s request;</w:t>
      </w:r>
    </w:p>
    <w:p w:rsidR="0080662F" w:rsidRDefault="0080662F" w:rsidP="0080662F">
      <w:pPr>
        <w:widowControl/>
        <w:numPr>
          <w:ilvl w:val="1"/>
          <w:numId w:val="11"/>
        </w:numPr>
        <w:rPr>
          <w:color w:val="000000"/>
        </w:rPr>
      </w:pPr>
      <w:r>
        <w:rPr>
          <w:color w:val="000000"/>
        </w:rPr>
        <w:t>AA-003 shall be limited to 800 additional hours, 3,400 hours total;</w:t>
      </w:r>
    </w:p>
    <w:p w:rsidR="0080662F" w:rsidRPr="007F789D" w:rsidRDefault="0080662F" w:rsidP="0080662F">
      <w:pPr>
        <w:widowControl/>
        <w:numPr>
          <w:ilvl w:val="1"/>
          <w:numId w:val="11"/>
        </w:numPr>
        <w:rPr>
          <w:color w:val="000000"/>
        </w:rPr>
      </w:pPr>
      <w:r>
        <w:rPr>
          <w:color w:val="000000"/>
        </w:rPr>
        <w:t>AA-011 shall be limite</w:t>
      </w:r>
      <w:r w:rsidR="00406001">
        <w:rPr>
          <w:color w:val="000000"/>
        </w:rPr>
        <w:t>d to 1,200 additional hours, 3,8</w:t>
      </w:r>
      <w:r>
        <w:rPr>
          <w:color w:val="000000"/>
        </w:rPr>
        <w:t>00 hours total;</w:t>
      </w:r>
    </w:p>
    <w:p w:rsidR="00470899" w:rsidRPr="007F789D" w:rsidRDefault="00470899" w:rsidP="00470899">
      <w:pPr>
        <w:widowControl/>
        <w:numPr>
          <w:ilvl w:val="0"/>
          <w:numId w:val="11"/>
        </w:numPr>
        <w:rPr>
          <w:color w:val="000000"/>
        </w:rPr>
      </w:pPr>
      <w:r w:rsidRPr="007F789D">
        <w:rPr>
          <w:color w:val="000000"/>
        </w:rPr>
        <w:t xml:space="preserve">The facility shall keep Net Dip Vat </w:t>
      </w:r>
      <w:r w:rsidR="0080662F">
        <w:rPr>
          <w:color w:val="000000"/>
        </w:rPr>
        <w:t>(AA-029) closed when not in use;</w:t>
      </w:r>
    </w:p>
    <w:p w:rsidR="00470899" w:rsidRPr="007F789D" w:rsidRDefault="00470899" w:rsidP="00470899">
      <w:pPr>
        <w:widowControl/>
        <w:numPr>
          <w:ilvl w:val="0"/>
          <w:numId w:val="11"/>
        </w:numPr>
        <w:rPr>
          <w:color w:val="000000"/>
        </w:rPr>
      </w:pPr>
      <w:r w:rsidRPr="007F789D">
        <w:rPr>
          <w:color w:val="000000"/>
        </w:rPr>
        <w:t>The facility shall limit the solution sprayed from chemical sprayer (AA-030) to 7,08</w:t>
      </w:r>
      <w:r w:rsidR="0080662F">
        <w:rPr>
          <w:color w:val="000000"/>
        </w:rPr>
        <w:t>5 gallons per year;</w:t>
      </w:r>
    </w:p>
    <w:p w:rsidR="00470899" w:rsidRPr="007F789D" w:rsidRDefault="00470899" w:rsidP="00470899">
      <w:pPr>
        <w:widowControl/>
        <w:numPr>
          <w:ilvl w:val="0"/>
          <w:numId w:val="11"/>
        </w:numPr>
        <w:rPr>
          <w:color w:val="000000"/>
        </w:rPr>
      </w:pPr>
      <w:r w:rsidRPr="007F789D">
        <w:rPr>
          <w:color w:val="000000"/>
        </w:rPr>
        <w:t>The facility shall limit the solution sprayed from deodorizer sprayer (AA</w:t>
      </w:r>
      <w:r w:rsidR="0080662F">
        <w:rPr>
          <w:color w:val="000000"/>
        </w:rPr>
        <w:t>-031) to 2,880 gallons per year and;</w:t>
      </w:r>
    </w:p>
    <w:p w:rsidR="00470899" w:rsidRPr="007F789D" w:rsidRDefault="00470899" w:rsidP="007027C3">
      <w:pPr>
        <w:widowControl/>
        <w:numPr>
          <w:ilvl w:val="0"/>
          <w:numId w:val="11"/>
        </w:numPr>
        <w:rPr>
          <w:color w:val="000000"/>
        </w:rPr>
      </w:pPr>
      <w:r w:rsidRPr="007F789D">
        <w:rPr>
          <w:color w:val="000000"/>
        </w:rPr>
        <w:t>The facility will also limit the amount of fish processed in cookers (AA-024 thru AA-026) to 255,000 tons per year (combined limit on all three cookers).</w:t>
      </w:r>
    </w:p>
    <w:p w:rsidR="00AE785C" w:rsidRPr="007F789D" w:rsidRDefault="00AE785C">
      <w:pPr>
        <w:pStyle w:val="Title"/>
        <w:jc w:val="both"/>
        <w:rPr>
          <w:b w:val="0"/>
          <w:bCs w:val="0"/>
        </w:rPr>
      </w:pPr>
    </w:p>
    <w:p w:rsidR="00AE785C" w:rsidRPr="004872E5" w:rsidRDefault="00AE785C">
      <w:pPr>
        <w:spacing w:line="240" w:lineRule="atLeast"/>
        <w:rPr>
          <w:bCs/>
          <w:color w:val="000000"/>
          <w:u w:val="single"/>
        </w:rPr>
      </w:pPr>
      <w:r w:rsidRPr="004872E5">
        <w:rPr>
          <w:bCs/>
          <w:color w:val="000000"/>
          <w:u w:val="single"/>
        </w:rPr>
        <w:t>PUBLIC PARTICIPATION</w:t>
      </w:r>
    </w:p>
    <w:p w:rsidR="00AE785C" w:rsidRPr="007F789D" w:rsidRDefault="00AE785C">
      <w:pPr>
        <w:spacing w:line="240" w:lineRule="atLeast"/>
        <w:rPr>
          <w:b/>
          <w:bCs/>
          <w:color w:val="000000"/>
          <w:u w:val="single"/>
        </w:rPr>
      </w:pPr>
    </w:p>
    <w:p w:rsidR="00AE785C" w:rsidRPr="007F789D" w:rsidRDefault="00AE785C">
      <w:pPr>
        <w:pStyle w:val="BodyText2"/>
        <w:rPr>
          <w:rFonts w:ascii="Times New Roman" w:hAnsi="Times New Roman" w:cs="Times New Roman"/>
        </w:rPr>
      </w:pPr>
      <w:r w:rsidRPr="007F789D">
        <w:rPr>
          <w:rFonts w:ascii="Times New Roman" w:hAnsi="Times New Roman" w:cs="Times New Roman"/>
        </w:rPr>
        <w:t xml:space="preserve">The 30-day public notice period began on </w:t>
      </w:r>
      <w:r w:rsidR="00596551">
        <w:rPr>
          <w:rFonts w:ascii="Times New Roman" w:hAnsi="Times New Roman" w:cs="Times New Roman"/>
        </w:rPr>
        <w:t>July 18, 2017</w:t>
      </w:r>
      <w:r w:rsidRPr="007F789D">
        <w:rPr>
          <w:rFonts w:ascii="Times New Roman" w:hAnsi="Times New Roman" w:cs="Times New Roman"/>
        </w:rPr>
        <w:t xml:space="preserve"> with the publication of a notice in the </w:t>
      </w:r>
      <w:proofErr w:type="spellStart"/>
      <w:r w:rsidR="006668B6">
        <w:rPr>
          <w:rFonts w:ascii="Times New Roman" w:hAnsi="Times New Roman" w:cs="Times New Roman"/>
        </w:rPr>
        <w:t>The</w:t>
      </w:r>
      <w:proofErr w:type="spellEnd"/>
      <w:r w:rsidR="006668B6">
        <w:rPr>
          <w:rFonts w:ascii="Times New Roman" w:hAnsi="Times New Roman" w:cs="Times New Roman"/>
        </w:rPr>
        <w:t xml:space="preserve"> Mississippi Press</w:t>
      </w:r>
      <w:r w:rsidRPr="007F789D">
        <w:rPr>
          <w:rFonts w:ascii="Times New Roman" w:hAnsi="Times New Roman" w:cs="Times New Roman"/>
        </w:rPr>
        <w:t xml:space="preserve"> and ends </w:t>
      </w:r>
      <w:r w:rsidR="00265789">
        <w:rPr>
          <w:rFonts w:ascii="Times New Roman" w:hAnsi="Times New Roman" w:cs="Times New Roman"/>
        </w:rPr>
        <w:t>August 17, 2017</w:t>
      </w:r>
      <w:bookmarkStart w:id="0" w:name="_GoBack"/>
      <w:bookmarkEnd w:id="0"/>
      <w:r w:rsidRPr="007F789D">
        <w:rPr>
          <w:rFonts w:ascii="Times New Roman" w:hAnsi="Times New Roman" w:cs="Times New Roman"/>
        </w:rPr>
        <w:t>.</w:t>
      </w:r>
    </w:p>
    <w:p w:rsidR="00AE785C" w:rsidRPr="004872E5" w:rsidRDefault="00AE785C">
      <w:pPr>
        <w:spacing w:line="240" w:lineRule="atLeast"/>
        <w:rPr>
          <w:color w:val="000000"/>
        </w:rPr>
      </w:pPr>
    </w:p>
    <w:p w:rsidR="00AE785C" w:rsidRPr="0080662F" w:rsidRDefault="00AE785C" w:rsidP="0080662F">
      <w:pPr>
        <w:widowControl/>
        <w:autoSpaceDE/>
        <w:autoSpaceDN/>
        <w:spacing w:after="200" w:line="276" w:lineRule="auto"/>
        <w:rPr>
          <w:bCs/>
          <w:color w:val="000000"/>
          <w:u w:val="single"/>
        </w:rPr>
      </w:pPr>
      <w:r w:rsidRPr="004872E5">
        <w:rPr>
          <w:bCs/>
          <w:color w:val="000000"/>
          <w:u w:val="single"/>
        </w:rPr>
        <w:t>RECOMMENDATION</w:t>
      </w:r>
    </w:p>
    <w:p w:rsidR="0026446A" w:rsidRPr="007F789D" w:rsidRDefault="00AE785C">
      <w:pPr>
        <w:pStyle w:val="Title"/>
        <w:jc w:val="both"/>
        <w:rPr>
          <w:b w:val="0"/>
          <w:bCs w:val="0"/>
          <w:snapToGrid w:val="0"/>
          <w:color w:val="000000"/>
        </w:rPr>
      </w:pPr>
      <w:r w:rsidRPr="007F789D">
        <w:rPr>
          <w:b w:val="0"/>
          <w:bCs w:val="0"/>
          <w:snapToGrid w:val="0"/>
          <w:color w:val="000000"/>
        </w:rPr>
        <w:t>The staff has preliminarily decided to recommend issuance of the permit to the Mississippi Environmental Quality Permit Board as shown in the draft permit.  However, the staff recommendation to the Board will be made only after a thorough consideration of all public comments.</w:t>
      </w:r>
    </w:p>
    <w:p w:rsidR="00AE785C" w:rsidRDefault="00AE785C">
      <w:pPr>
        <w:pStyle w:val="Title"/>
        <w:jc w:val="both"/>
        <w:rPr>
          <w:rFonts w:ascii="Tms Rmn" w:hAnsi="Tms Rmn" w:cs="Tms Rmn"/>
          <w:b w:val="0"/>
          <w:bCs w:val="0"/>
          <w:snapToGrid w:val="0"/>
          <w:color w:val="000000"/>
        </w:rPr>
      </w:pPr>
    </w:p>
    <w:sectPr w:rsidR="00AE785C" w:rsidSect="0055558F">
      <w:headerReference w:type="default" r:id="rId7"/>
      <w:footerReference w:type="default" r:id="rId8"/>
      <w:footerReference w:type="first" r:id="rId9"/>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9AE" w:rsidRDefault="000229AE">
      <w:r>
        <w:separator/>
      </w:r>
    </w:p>
  </w:endnote>
  <w:endnote w:type="continuationSeparator" w:id="0">
    <w:p w:rsidR="000229AE" w:rsidRDefault="0002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5C" w:rsidRPr="0026446A" w:rsidRDefault="0026446A" w:rsidP="0026446A">
    <w:pPr>
      <w:pStyle w:val="Footer"/>
    </w:pPr>
    <w:r>
      <w:t>1823 PER20160003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5C" w:rsidRDefault="00AE785C">
    <w:pPr>
      <w:pStyle w:val="Footer"/>
    </w:pPr>
    <w:r>
      <w:t>1823 PER20160003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9AE" w:rsidRDefault="000229AE">
      <w:r>
        <w:separator/>
      </w:r>
    </w:p>
  </w:footnote>
  <w:footnote w:type="continuationSeparator" w:id="0">
    <w:p w:rsidR="000229AE" w:rsidRDefault="0002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5C" w:rsidRDefault="00AE785C">
    <w:pPr>
      <w:pStyle w:val="Header"/>
      <w:rPr>
        <w:sz w:val="18"/>
        <w:szCs w:val="18"/>
      </w:rPr>
    </w:pPr>
    <w:r>
      <w:rPr>
        <w:sz w:val="18"/>
        <w:szCs w:val="18"/>
      </w:rPr>
      <w:t>Permit Review Summary</w:t>
    </w:r>
  </w:p>
  <w:p w:rsidR="00AE785C" w:rsidRDefault="00AE785C">
    <w:pPr>
      <w:pStyle w:val="Header"/>
      <w:rPr>
        <w:rStyle w:val="PageNumbe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65789">
      <w:rPr>
        <w:rStyle w:val="PageNumber"/>
        <w:noProof/>
        <w:sz w:val="18"/>
        <w:szCs w:val="18"/>
      </w:rPr>
      <w:t>2</w:t>
    </w:r>
    <w:r>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B1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A635CA"/>
    <w:multiLevelType w:val="hybridMultilevel"/>
    <w:tmpl w:val="787A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06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55279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4FC57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3D3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A36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2263D8"/>
    <w:multiLevelType w:val="hybridMultilevel"/>
    <w:tmpl w:val="541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9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522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090F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5"/>
  </w:num>
  <w:num w:numId="4">
    <w:abstractNumId w:val="10"/>
  </w:num>
  <w:num w:numId="5">
    <w:abstractNumId w:val="1"/>
  </w:num>
  <w:num w:numId="6">
    <w:abstractNumId w:val="9"/>
  </w:num>
  <w:num w:numId="7">
    <w:abstractNumId w:val="11"/>
  </w:num>
  <w:num w:numId="8">
    <w:abstractNumId w:val="7"/>
  </w:num>
  <w:num w:numId="9">
    <w:abstractNumId w:val="6"/>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5c'5c'5c'5c'5c'5c'5c'5c'5c'5c'5c'5c'5c'5c'5c'5c'0d\'5c'5c'5c'5c'5c'5c'5c'5c'5c'5c'5c'5c'5c'5c'5c'5c'0d\'5c'5c'5c'5c'5c'5c'5c'5c'5c'5c'5c'5c'5c'5c'5c'5c'0d,   "/>
    <w:docVar w:name="FacilityContact" w:val="man"/>
    <w:docVar w:name="Ref" w:val="Permit 1\'5c'5c'5c'5c'5c'5c'5c'5c'5c'5c'5c'5c'5c'5c'5c'5c'0d\'5c'5c'5c'5c'5c'5c'5c'5c'5c'5c'5c'5c'5c'5c'5c'5c'0aPermit 2\'5c'5c'5c'5c'5c'5c'5c'5c'5c'5c'5c'5c'5c'5c'5c'5c'0d\'5c'5c'5c'5c'5c'5c'5c'5c'5c'5c'5c'5c'5c'5c'5c'5c'0a"/>
  </w:docVars>
  <w:rsids>
    <w:rsidRoot w:val="0026446A"/>
    <w:rsid w:val="00017B97"/>
    <w:rsid w:val="000229AE"/>
    <w:rsid w:val="000556D0"/>
    <w:rsid w:val="000A442E"/>
    <w:rsid w:val="00134B4E"/>
    <w:rsid w:val="001435E7"/>
    <w:rsid w:val="00143C1A"/>
    <w:rsid w:val="00143DE1"/>
    <w:rsid w:val="00187A73"/>
    <w:rsid w:val="001E2733"/>
    <w:rsid w:val="001F5564"/>
    <w:rsid w:val="00231D63"/>
    <w:rsid w:val="00233312"/>
    <w:rsid w:val="00245CA7"/>
    <w:rsid w:val="0026446A"/>
    <w:rsid w:val="00265789"/>
    <w:rsid w:val="00361BC2"/>
    <w:rsid w:val="003641BB"/>
    <w:rsid w:val="00382C15"/>
    <w:rsid w:val="003D58CD"/>
    <w:rsid w:val="00406001"/>
    <w:rsid w:val="00447622"/>
    <w:rsid w:val="0046750E"/>
    <w:rsid w:val="00470899"/>
    <w:rsid w:val="004872E5"/>
    <w:rsid w:val="00497974"/>
    <w:rsid w:val="004B7970"/>
    <w:rsid w:val="004E6AFB"/>
    <w:rsid w:val="004E7E2F"/>
    <w:rsid w:val="004F4028"/>
    <w:rsid w:val="00507AA1"/>
    <w:rsid w:val="00533198"/>
    <w:rsid w:val="00535CBE"/>
    <w:rsid w:val="0055558F"/>
    <w:rsid w:val="00562523"/>
    <w:rsid w:val="00596551"/>
    <w:rsid w:val="005A4209"/>
    <w:rsid w:val="005B35DC"/>
    <w:rsid w:val="00660E3A"/>
    <w:rsid w:val="00662620"/>
    <w:rsid w:val="006668B6"/>
    <w:rsid w:val="006770A3"/>
    <w:rsid w:val="006A07B0"/>
    <w:rsid w:val="006F7D27"/>
    <w:rsid w:val="007027C3"/>
    <w:rsid w:val="00713810"/>
    <w:rsid w:val="00734197"/>
    <w:rsid w:val="007B31CC"/>
    <w:rsid w:val="007F789D"/>
    <w:rsid w:val="0080662F"/>
    <w:rsid w:val="00833D26"/>
    <w:rsid w:val="008358F2"/>
    <w:rsid w:val="008652DA"/>
    <w:rsid w:val="00877BD8"/>
    <w:rsid w:val="008A54A7"/>
    <w:rsid w:val="008B1679"/>
    <w:rsid w:val="008D0234"/>
    <w:rsid w:val="00943EAB"/>
    <w:rsid w:val="00946051"/>
    <w:rsid w:val="00954FA4"/>
    <w:rsid w:val="00985377"/>
    <w:rsid w:val="00986DF9"/>
    <w:rsid w:val="00992730"/>
    <w:rsid w:val="009C3ED3"/>
    <w:rsid w:val="009D1C22"/>
    <w:rsid w:val="00A90E68"/>
    <w:rsid w:val="00A9615F"/>
    <w:rsid w:val="00AB5062"/>
    <w:rsid w:val="00AE785C"/>
    <w:rsid w:val="00B43E9A"/>
    <w:rsid w:val="00B64B20"/>
    <w:rsid w:val="00B771D0"/>
    <w:rsid w:val="00BA7B7E"/>
    <w:rsid w:val="00BB244E"/>
    <w:rsid w:val="00BE6E7D"/>
    <w:rsid w:val="00C06476"/>
    <w:rsid w:val="00C53D1F"/>
    <w:rsid w:val="00C6181C"/>
    <w:rsid w:val="00CF61B0"/>
    <w:rsid w:val="00D53670"/>
    <w:rsid w:val="00D65C78"/>
    <w:rsid w:val="00D84041"/>
    <w:rsid w:val="00DA39EF"/>
    <w:rsid w:val="00DD1571"/>
    <w:rsid w:val="00E031D4"/>
    <w:rsid w:val="00E2148E"/>
    <w:rsid w:val="00E33CC8"/>
    <w:rsid w:val="00E66406"/>
    <w:rsid w:val="00E81BEA"/>
    <w:rsid w:val="00F04E44"/>
    <w:rsid w:val="00F371DC"/>
    <w:rsid w:val="00F65D87"/>
    <w:rsid w:val="00F67BC9"/>
    <w:rsid w:val="00FD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A3488"/>
  <w14:defaultImageDpi w14:val="0"/>
  <w15:docId w15:val="{42084520-B179-47D5-9514-ADC3F2AB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lsdException w:name="page number" w:semiHidden="1"/>
    <w:lsdException w:name="toa heading" w:semiHidden="1" w:unhideWhenUsed="1"/>
    <w:lsdException w:name="List Number" w:semiHidden="1" w:unhideWhenUsed="1"/>
    <w:lsdException w:name="List 2" w:semiHidden="1" w:unhideWhenUsed="1"/>
    <w:lsdException w:name="Title" w:qFormat="1"/>
    <w:lsdException w:name="Closing" w:semiHidden="1"/>
    <w:lsdException w:name="Signature" w:semiHidden="1"/>
    <w:lsdException w:name="Default Paragraph Font" w:semiHidden="1"/>
    <w:lsdException w:name="Body Tex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lsdException w:name="Body Text 2" w:semiHidden="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widowControl/>
      <w:jc w:val="center"/>
      <w:outlineLvl w:val="0"/>
    </w:pPr>
    <w:rPr>
      <w:b/>
      <w:bCs/>
    </w:rPr>
  </w:style>
  <w:style w:type="paragraph" w:styleId="Heading2">
    <w:name w:val="heading 2"/>
    <w:basedOn w:val="Normal"/>
    <w:next w:val="Normal"/>
    <w:link w:val="Heading2Char"/>
    <w:uiPriority w:val="99"/>
    <w:qFormat/>
    <w:pPr>
      <w:keepNext/>
      <w:widowControl/>
      <w:jc w:val="center"/>
      <w:outlineLvl w:val="1"/>
    </w:pPr>
    <w:rPr>
      <w:b/>
      <w:bCs/>
      <w:sz w:val="28"/>
      <w:szCs w:val="28"/>
    </w:rPr>
  </w:style>
  <w:style w:type="paragraph" w:styleId="Heading3">
    <w:name w:val="heading 3"/>
    <w:basedOn w:val="Normal"/>
    <w:next w:val="Normal"/>
    <w:link w:val="Heading3Char"/>
    <w:uiPriority w:val="99"/>
    <w:qFormat/>
    <w:pPr>
      <w:keepNext/>
      <w:widowControl/>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ReferenceLine">
    <w:name w:val="Reference Line"/>
    <w:basedOn w:val="BodyText"/>
    <w:uiPriority w:val="99"/>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cs="Times New Roman"/>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CcList">
    <w:name w:val="Cc List"/>
    <w:basedOn w:val="Normal"/>
    <w:uiPriority w:val="99"/>
  </w:style>
  <w:style w:type="paragraph" w:styleId="Date">
    <w:name w:val="Date"/>
    <w:basedOn w:val="Normal"/>
    <w:next w:val="Normal"/>
    <w:link w:val="DateChar"/>
    <w:uiPriority w:val="99"/>
    <w:pPr>
      <w:ind w:left="4320"/>
    </w:pPr>
  </w:style>
  <w:style w:type="character" w:customStyle="1" w:styleId="DateChar">
    <w:name w:val="Date Char"/>
    <w:basedOn w:val="DefaultParagraphFont"/>
    <w:link w:val="Date"/>
    <w:uiPriority w:val="99"/>
    <w:semiHidden/>
    <w:locked/>
    <w:rPr>
      <w:rFonts w:cs="Times New Roman"/>
      <w:sz w:val="24"/>
      <w:szCs w:val="24"/>
    </w:rPr>
  </w:style>
  <w:style w:type="paragraph" w:styleId="BodyText2">
    <w:name w:val="Body Text 2"/>
    <w:basedOn w:val="Normal"/>
    <w:link w:val="BodyText2Char"/>
    <w:uiPriority w:val="99"/>
    <w:pPr>
      <w:spacing w:line="240" w:lineRule="atLeast"/>
      <w:jc w:val="both"/>
    </w:pPr>
    <w:rPr>
      <w:rFonts w:ascii="Tms Rmn" w:hAnsi="Tms Rmn" w:cs="Tms Rmn"/>
      <w:color w:val="00000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pPr>
      <w:widowControl/>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Pr>
      <w:rFonts w:cs="Times New Roman"/>
    </w:rPr>
  </w:style>
  <w:style w:type="table" w:styleId="TableGrid">
    <w:name w:val="Table Grid"/>
    <w:basedOn w:val="TableNormal"/>
    <w:uiPriority w:val="59"/>
    <w:unhideWhenUsed/>
    <w:rsid w:val="00E6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D8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5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17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enSit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enSite Letter.dot</Template>
  <TotalTime>177</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afgafgasdgfsd</vt:lpstr>
    </vt:vector>
  </TitlesOfParts>
  <Company>None</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afgafgasdgfsd</dc:title>
  <dc:subject/>
  <dc:creator>Bruce Ferguson</dc:creator>
  <cp:keywords/>
  <dc:description/>
  <cp:lastModifiedBy>Slater Smith</cp:lastModifiedBy>
  <cp:revision>7</cp:revision>
  <cp:lastPrinted>2017-07-11T15:30:00Z</cp:lastPrinted>
  <dcterms:created xsi:type="dcterms:W3CDTF">2017-01-06T16:55:00Z</dcterms:created>
  <dcterms:modified xsi:type="dcterms:W3CDTF">2017-07-11T16:03:00Z</dcterms:modified>
</cp:coreProperties>
</file>