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AEC3" w14:textId="77777777" w:rsidR="005E1C12" w:rsidRDefault="005E1C12">
      <w:pPr>
        <w:jc w:val="center"/>
        <w:rPr>
          <w:b/>
          <w:bCs/>
          <w:sz w:val="32"/>
          <w:szCs w:val="32"/>
        </w:rPr>
      </w:pPr>
      <w:r>
        <w:rPr>
          <w:b/>
          <w:bCs/>
          <w:sz w:val="32"/>
          <w:szCs w:val="32"/>
        </w:rPr>
        <w:t>INFORMATION RELATIVE TO</w:t>
      </w:r>
    </w:p>
    <w:p w14:paraId="2AF44323" w14:textId="77777777" w:rsidR="005E1C12" w:rsidRDefault="005E1C12">
      <w:pPr>
        <w:jc w:val="center"/>
        <w:rPr>
          <w:b/>
          <w:bCs/>
          <w:sz w:val="32"/>
          <w:szCs w:val="32"/>
        </w:rPr>
      </w:pPr>
      <w:r>
        <w:rPr>
          <w:b/>
          <w:bCs/>
          <w:sz w:val="32"/>
          <w:szCs w:val="32"/>
        </w:rPr>
        <w:t>THE DRAFT TITLE V OPERATING PERMIT</w:t>
      </w:r>
    </w:p>
    <w:p w14:paraId="77C05673" w14:textId="3F08E872" w:rsidR="007E6D99" w:rsidRDefault="008924AE">
      <w:pPr>
        <w:jc w:val="center"/>
        <w:rPr>
          <w:b/>
          <w:bCs/>
          <w:sz w:val="32"/>
          <w:szCs w:val="32"/>
        </w:rPr>
      </w:pPr>
      <w:r>
        <w:rPr>
          <w:b/>
          <w:bCs/>
          <w:sz w:val="32"/>
          <w:szCs w:val="32"/>
        </w:rPr>
        <w:t>November 5, 2018</w:t>
      </w:r>
    </w:p>
    <w:p w14:paraId="21156812" w14:textId="77777777" w:rsidR="005E1C12" w:rsidRDefault="005E1C12">
      <w:pPr>
        <w:jc w:val="center"/>
        <w:rPr>
          <w:sz w:val="24"/>
          <w:szCs w:val="24"/>
        </w:rPr>
      </w:pPr>
      <w:r>
        <w:rPr>
          <w:sz w:val="24"/>
          <w:szCs w:val="24"/>
        </w:rPr>
        <w:t>FOR:</w:t>
      </w:r>
    </w:p>
    <w:p w14:paraId="4D464551" w14:textId="77777777" w:rsidR="005E1C12" w:rsidRDefault="005E1C12">
      <w:pPr>
        <w:pStyle w:val="ReferenceLine"/>
        <w:widowControl/>
        <w:tabs>
          <w:tab w:val="left" w:pos="90"/>
        </w:tabs>
        <w:spacing w:after="0"/>
        <w:jc w:val="center"/>
        <w:rPr>
          <w:b/>
          <w:bCs/>
        </w:rPr>
      </w:pPr>
      <w:r>
        <w:rPr>
          <w:b/>
          <w:bCs/>
        </w:rPr>
        <w:t>Weyerhaeuser NR Company, Bruce Facility</w:t>
      </w:r>
    </w:p>
    <w:p w14:paraId="1BDE18E8" w14:textId="77777777" w:rsidR="005E1C12" w:rsidRDefault="005E1C12">
      <w:pPr>
        <w:tabs>
          <w:tab w:val="left" w:pos="90"/>
        </w:tabs>
        <w:jc w:val="center"/>
        <w:rPr>
          <w:b/>
          <w:bCs/>
          <w:snapToGrid w:val="0"/>
          <w:color w:val="000000"/>
          <w:sz w:val="24"/>
          <w:szCs w:val="24"/>
        </w:rPr>
      </w:pPr>
      <w:r>
        <w:rPr>
          <w:b/>
          <w:bCs/>
          <w:snapToGrid w:val="0"/>
          <w:color w:val="000000"/>
          <w:sz w:val="24"/>
          <w:szCs w:val="24"/>
        </w:rPr>
        <w:t>289 South Pontotoc Road</w:t>
      </w:r>
    </w:p>
    <w:p w14:paraId="326E4603" w14:textId="77777777" w:rsidR="005E1C12" w:rsidRDefault="005E1C12">
      <w:pPr>
        <w:pStyle w:val="ReferenceLine"/>
        <w:widowControl/>
        <w:spacing w:after="0"/>
        <w:jc w:val="center"/>
      </w:pPr>
      <w:r>
        <w:rPr>
          <w:b/>
          <w:bCs/>
          <w:color w:val="000000"/>
        </w:rPr>
        <w:t xml:space="preserve">Bruce, MS 38915    </w:t>
      </w:r>
    </w:p>
    <w:p w14:paraId="4B80B0BD" w14:textId="77777777" w:rsidR="005E1C12" w:rsidRDefault="005E1C12">
      <w:pPr>
        <w:pStyle w:val="ReferenceLine"/>
        <w:widowControl/>
        <w:spacing w:after="0"/>
      </w:pPr>
    </w:p>
    <w:p w14:paraId="23091FB9" w14:textId="4C01DD51" w:rsidR="00531513" w:rsidRDefault="00531513" w:rsidP="00531513">
      <w:pPr>
        <w:rPr>
          <w:sz w:val="24"/>
          <w:szCs w:val="24"/>
          <w:u w:val="single"/>
        </w:rPr>
      </w:pPr>
      <w:r w:rsidRPr="006347F5">
        <w:rPr>
          <w:sz w:val="24"/>
          <w:szCs w:val="24"/>
          <w:u w:val="single"/>
        </w:rPr>
        <w:t>FACILITY DESCRIPTION</w:t>
      </w:r>
    </w:p>
    <w:p w14:paraId="7E94503A" w14:textId="77777777" w:rsidR="00E1385B" w:rsidRDefault="00E1385B" w:rsidP="00531513">
      <w:pPr>
        <w:rPr>
          <w:sz w:val="24"/>
          <w:szCs w:val="24"/>
        </w:rPr>
      </w:pPr>
    </w:p>
    <w:p w14:paraId="3012C69D" w14:textId="77777777" w:rsidR="003075CF" w:rsidRDefault="003075CF" w:rsidP="003075CF">
      <w:pPr>
        <w:jc w:val="both"/>
        <w:rPr>
          <w:sz w:val="24"/>
          <w:szCs w:val="24"/>
        </w:rPr>
      </w:pPr>
      <w:bookmarkStart w:id="0" w:name="Text5"/>
      <w:r>
        <w:rPr>
          <w:sz w:val="24"/>
          <w:szCs w:val="24"/>
        </w:rPr>
        <w:t xml:space="preserve">Weyerhaeuser </w:t>
      </w:r>
      <w:r w:rsidR="0049100B">
        <w:rPr>
          <w:sz w:val="24"/>
          <w:szCs w:val="24"/>
        </w:rPr>
        <w:t xml:space="preserve">NR </w:t>
      </w:r>
      <w:r>
        <w:rPr>
          <w:sz w:val="24"/>
          <w:szCs w:val="24"/>
        </w:rPr>
        <w:t>Company, Bruce Facility operates an existing dimensional lumber wood product mill that includes a sawmill, lumber kilns, and a planer mill. The facility is located at 106 Railroad Street, in Bruce MS, (662) 983-7311 and has applied to the Mississippi Department of Environmental Quality for the renewal of their current Title V Permit to Operate Air Emissions Equipment Ref. No. 0300-00032.</w:t>
      </w:r>
      <w:bookmarkEnd w:id="0"/>
      <w:r w:rsidR="0049100B">
        <w:rPr>
          <w:sz w:val="24"/>
          <w:szCs w:val="24"/>
        </w:rPr>
        <w:t xml:space="preserve"> </w:t>
      </w:r>
      <w:r>
        <w:rPr>
          <w:sz w:val="24"/>
          <w:szCs w:val="24"/>
        </w:rPr>
        <w:t>The facility operations fall under the Standard Industrial Classification (SIC) Code 2421.</w:t>
      </w:r>
    </w:p>
    <w:p w14:paraId="5B5A36AC" w14:textId="77777777" w:rsidR="00531513" w:rsidRDefault="00531513" w:rsidP="00531513">
      <w:pPr>
        <w:rPr>
          <w:sz w:val="24"/>
          <w:szCs w:val="24"/>
        </w:rPr>
      </w:pPr>
    </w:p>
    <w:p w14:paraId="2EF042D2" w14:textId="5B245729" w:rsidR="002F463C" w:rsidRDefault="002F463C" w:rsidP="00531513">
      <w:pPr>
        <w:rPr>
          <w:sz w:val="24"/>
          <w:szCs w:val="24"/>
        </w:rPr>
      </w:pPr>
      <w:r>
        <w:rPr>
          <w:sz w:val="24"/>
          <w:szCs w:val="24"/>
        </w:rPr>
        <w:t xml:space="preserve">The facility added two direct-fired lumber kilns (AA-018 and AA-019) and associated </w:t>
      </w:r>
      <w:proofErr w:type="spellStart"/>
      <w:r>
        <w:rPr>
          <w:sz w:val="24"/>
          <w:szCs w:val="24"/>
        </w:rPr>
        <w:t>woodwaste</w:t>
      </w:r>
      <w:proofErr w:type="spellEnd"/>
      <w:r>
        <w:rPr>
          <w:sz w:val="24"/>
          <w:szCs w:val="24"/>
        </w:rPr>
        <w:t xml:space="preserve"> fuel bins (AA-020 and AA-021) in a </w:t>
      </w:r>
      <w:r w:rsidR="006347F5">
        <w:rPr>
          <w:sz w:val="24"/>
          <w:szCs w:val="24"/>
        </w:rPr>
        <w:t xml:space="preserve">Permit to Construct issued September 4, 2014 and the units were modified in a </w:t>
      </w:r>
      <w:r>
        <w:rPr>
          <w:sz w:val="24"/>
          <w:szCs w:val="24"/>
        </w:rPr>
        <w:t xml:space="preserve">PSD Construction Permit issued April 1, 2016. </w:t>
      </w:r>
    </w:p>
    <w:p w14:paraId="52404010" w14:textId="0FB9F632" w:rsidR="006347F5" w:rsidRDefault="006347F5" w:rsidP="00531513">
      <w:pPr>
        <w:rPr>
          <w:sz w:val="24"/>
          <w:szCs w:val="24"/>
        </w:rPr>
      </w:pPr>
      <w:r>
        <w:rPr>
          <w:sz w:val="24"/>
          <w:szCs w:val="24"/>
        </w:rPr>
        <w:t xml:space="preserve">As part of the construction project, the following equipment </w:t>
      </w:r>
      <w:r w:rsidR="00610F3B">
        <w:rPr>
          <w:sz w:val="24"/>
          <w:szCs w:val="24"/>
        </w:rPr>
        <w:t xml:space="preserve">and activities </w:t>
      </w:r>
      <w:r>
        <w:rPr>
          <w:sz w:val="24"/>
          <w:szCs w:val="24"/>
        </w:rPr>
        <w:t>w</w:t>
      </w:r>
      <w:r w:rsidR="00610F3B">
        <w:rPr>
          <w:sz w:val="24"/>
          <w:szCs w:val="24"/>
        </w:rPr>
        <w:t>ere</w:t>
      </w:r>
      <w:r>
        <w:rPr>
          <w:sz w:val="24"/>
          <w:szCs w:val="24"/>
        </w:rPr>
        <w:t xml:space="preserve"> taken out of service: </w:t>
      </w:r>
      <w:r w:rsidRPr="006347F5">
        <w:rPr>
          <w:sz w:val="24"/>
          <w:szCs w:val="24"/>
        </w:rPr>
        <w:t>70 MMBtu/</w:t>
      </w:r>
      <w:proofErr w:type="spellStart"/>
      <w:r w:rsidRPr="006347F5">
        <w:rPr>
          <w:sz w:val="24"/>
          <w:szCs w:val="24"/>
        </w:rPr>
        <w:t>hr</w:t>
      </w:r>
      <w:proofErr w:type="spellEnd"/>
      <w:r>
        <w:rPr>
          <w:sz w:val="24"/>
          <w:szCs w:val="24"/>
        </w:rPr>
        <w:t xml:space="preserve"> </w:t>
      </w:r>
      <w:proofErr w:type="spellStart"/>
      <w:r w:rsidRPr="006347F5">
        <w:rPr>
          <w:sz w:val="24"/>
          <w:szCs w:val="24"/>
        </w:rPr>
        <w:t>Woodwaste</w:t>
      </w:r>
      <w:proofErr w:type="spellEnd"/>
      <w:r w:rsidRPr="006347F5">
        <w:rPr>
          <w:sz w:val="24"/>
          <w:szCs w:val="24"/>
        </w:rPr>
        <w:t xml:space="preserve"> Boiler</w:t>
      </w:r>
      <w:r>
        <w:rPr>
          <w:sz w:val="24"/>
          <w:szCs w:val="24"/>
        </w:rPr>
        <w:t xml:space="preserve"> (AA-001), </w:t>
      </w:r>
      <w:r w:rsidRPr="006347F5">
        <w:rPr>
          <w:sz w:val="24"/>
          <w:szCs w:val="24"/>
        </w:rPr>
        <w:t>115 MMBtu/</w:t>
      </w:r>
      <w:proofErr w:type="spellStart"/>
      <w:r w:rsidRPr="006347F5">
        <w:rPr>
          <w:sz w:val="24"/>
          <w:szCs w:val="24"/>
        </w:rPr>
        <w:t>hr</w:t>
      </w:r>
      <w:proofErr w:type="spellEnd"/>
      <w:r w:rsidRPr="006347F5">
        <w:rPr>
          <w:sz w:val="24"/>
          <w:szCs w:val="24"/>
        </w:rPr>
        <w:t xml:space="preserve"> </w:t>
      </w:r>
      <w:proofErr w:type="spellStart"/>
      <w:r w:rsidRPr="006347F5">
        <w:rPr>
          <w:sz w:val="24"/>
          <w:szCs w:val="24"/>
        </w:rPr>
        <w:t>Woodwaste</w:t>
      </w:r>
      <w:proofErr w:type="spellEnd"/>
      <w:r w:rsidRPr="006347F5">
        <w:rPr>
          <w:sz w:val="24"/>
          <w:szCs w:val="24"/>
        </w:rPr>
        <w:t xml:space="preserve"> Boiler</w:t>
      </w:r>
      <w:r>
        <w:rPr>
          <w:sz w:val="24"/>
          <w:szCs w:val="24"/>
        </w:rPr>
        <w:t xml:space="preserve"> (AA-002), </w:t>
      </w:r>
      <w:r w:rsidRPr="006347F5">
        <w:rPr>
          <w:sz w:val="24"/>
          <w:szCs w:val="24"/>
        </w:rPr>
        <w:t>Four Lumber Dry Kilns</w:t>
      </w:r>
      <w:r>
        <w:rPr>
          <w:sz w:val="24"/>
          <w:szCs w:val="24"/>
        </w:rPr>
        <w:t xml:space="preserve"> (AA-003) and </w:t>
      </w:r>
      <w:r w:rsidRPr="006347F5">
        <w:rPr>
          <w:sz w:val="24"/>
          <w:szCs w:val="24"/>
        </w:rPr>
        <w:t>Ash Handling</w:t>
      </w:r>
      <w:r w:rsidR="00610F3B">
        <w:rPr>
          <w:sz w:val="24"/>
          <w:szCs w:val="24"/>
        </w:rPr>
        <w:t xml:space="preserve"> (AA-013)</w:t>
      </w:r>
      <w:r w:rsidR="002D4D2D">
        <w:rPr>
          <w:sz w:val="24"/>
          <w:szCs w:val="24"/>
        </w:rPr>
        <w:t>.</w:t>
      </w:r>
      <w:r w:rsidR="00271BFE">
        <w:rPr>
          <w:sz w:val="24"/>
          <w:szCs w:val="24"/>
        </w:rPr>
        <w:t xml:space="preserve"> Also, the PM emission limitations </w:t>
      </w:r>
      <w:r w:rsidR="00E951B0">
        <w:rPr>
          <w:sz w:val="24"/>
          <w:szCs w:val="24"/>
        </w:rPr>
        <w:t xml:space="preserve">were removed </w:t>
      </w:r>
      <w:r w:rsidR="00271BFE">
        <w:rPr>
          <w:sz w:val="24"/>
          <w:szCs w:val="24"/>
        </w:rPr>
        <w:t>for</w:t>
      </w:r>
      <w:r w:rsidR="00E951B0" w:rsidRPr="00E951B0">
        <w:t xml:space="preserve"> </w:t>
      </w:r>
      <w:r w:rsidR="00E951B0">
        <w:rPr>
          <w:sz w:val="24"/>
          <w:szCs w:val="24"/>
        </w:rPr>
        <w:t xml:space="preserve">the </w:t>
      </w:r>
      <w:r w:rsidR="00E951B0" w:rsidRPr="00E951B0">
        <w:rPr>
          <w:sz w:val="24"/>
          <w:szCs w:val="24"/>
        </w:rPr>
        <w:t>Truck Chip Bins Cyclone</w:t>
      </w:r>
      <w:r w:rsidR="00E951B0">
        <w:rPr>
          <w:sz w:val="24"/>
          <w:szCs w:val="24"/>
        </w:rPr>
        <w:t xml:space="preserve"> (AA-004)</w:t>
      </w:r>
      <w:r w:rsidR="00E951B0" w:rsidRPr="00E951B0">
        <w:rPr>
          <w:sz w:val="24"/>
          <w:szCs w:val="24"/>
        </w:rPr>
        <w:t>, Planer Cyclone</w:t>
      </w:r>
      <w:r w:rsidR="00E951B0">
        <w:rPr>
          <w:sz w:val="24"/>
          <w:szCs w:val="24"/>
        </w:rPr>
        <w:t xml:space="preserve"> (AA-005)</w:t>
      </w:r>
      <w:r w:rsidR="00E951B0" w:rsidRPr="00E951B0">
        <w:rPr>
          <w:sz w:val="24"/>
          <w:szCs w:val="24"/>
        </w:rPr>
        <w:t xml:space="preserve"> and #1 Planer Shavings Truck Bin Cyclone</w:t>
      </w:r>
      <w:r w:rsidR="00E951B0">
        <w:rPr>
          <w:sz w:val="24"/>
          <w:szCs w:val="24"/>
        </w:rPr>
        <w:t xml:space="preserve"> (AA-006).</w:t>
      </w:r>
      <w:r w:rsidR="00853F01">
        <w:rPr>
          <w:sz w:val="24"/>
          <w:szCs w:val="24"/>
        </w:rPr>
        <w:t xml:space="preserve"> </w:t>
      </w:r>
      <w:r w:rsidR="00612B15">
        <w:rPr>
          <w:sz w:val="24"/>
          <w:szCs w:val="24"/>
        </w:rPr>
        <w:t xml:space="preserve">These changes </w:t>
      </w:r>
      <w:r w:rsidR="00E951B0">
        <w:rPr>
          <w:sz w:val="24"/>
          <w:szCs w:val="24"/>
        </w:rPr>
        <w:t>have been</w:t>
      </w:r>
      <w:r w:rsidR="00612B15">
        <w:rPr>
          <w:sz w:val="24"/>
          <w:szCs w:val="24"/>
        </w:rPr>
        <w:t xml:space="preserve"> incorporated in the proposed</w:t>
      </w:r>
      <w:r w:rsidR="00896F8D">
        <w:rPr>
          <w:sz w:val="24"/>
          <w:szCs w:val="24"/>
        </w:rPr>
        <w:t xml:space="preserve"> </w:t>
      </w:r>
      <w:r w:rsidR="00C905CA">
        <w:rPr>
          <w:sz w:val="24"/>
          <w:szCs w:val="24"/>
        </w:rPr>
        <w:t xml:space="preserve">TV </w:t>
      </w:r>
      <w:r w:rsidR="00000629">
        <w:rPr>
          <w:sz w:val="24"/>
          <w:szCs w:val="24"/>
        </w:rPr>
        <w:t>P</w:t>
      </w:r>
      <w:r w:rsidR="00612B15">
        <w:rPr>
          <w:sz w:val="24"/>
          <w:szCs w:val="24"/>
        </w:rPr>
        <w:t>ermit</w:t>
      </w:r>
      <w:r w:rsidR="00E951B0">
        <w:rPr>
          <w:sz w:val="24"/>
          <w:szCs w:val="24"/>
        </w:rPr>
        <w:t xml:space="preserve"> renewal</w:t>
      </w:r>
      <w:r w:rsidR="00612B15">
        <w:rPr>
          <w:sz w:val="24"/>
          <w:szCs w:val="24"/>
        </w:rPr>
        <w:t>.</w:t>
      </w:r>
    </w:p>
    <w:p w14:paraId="05E6947C" w14:textId="77777777" w:rsidR="002F463C" w:rsidRDefault="002F463C" w:rsidP="00531513">
      <w:pPr>
        <w:rPr>
          <w:sz w:val="24"/>
          <w:szCs w:val="24"/>
        </w:rPr>
      </w:pPr>
    </w:p>
    <w:p w14:paraId="79DB1762" w14:textId="1AD6BF2D" w:rsidR="00531513" w:rsidRDefault="00531513" w:rsidP="00531513">
      <w:pPr>
        <w:rPr>
          <w:sz w:val="24"/>
          <w:szCs w:val="24"/>
          <w:u w:val="single"/>
        </w:rPr>
      </w:pPr>
      <w:r>
        <w:rPr>
          <w:sz w:val="24"/>
          <w:szCs w:val="24"/>
          <w:u w:val="single"/>
        </w:rPr>
        <w:t>TITLE V PROGRAM APPLICABILITY BASIS</w:t>
      </w:r>
    </w:p>
    <w:p w14:paraId="3B70EFCC" w14:textId="77777777" w:rsidR="00E1385B" w:rsidRDefault="00E1385B" w:rsidP="00531513">
      <w:pPr>
        <w:rPr>
          <w:sz w:val="24"/>
          <w:szCs w:val="24"/>
        </w:rPr>
      </w:pPr>
    </w:p>
    <w:p w14:paraId="651D0F99" w14:textId="19A4D4A0" w:rsidR="00531513" w:rsidRDefault="00882A03" w:rsidP="00531513">
      <w:pPr>
        <w:jc w:val="both"/>
        <w:rPr>
          <w:sz w:val="24"/>
          <w:szCs w:val="24"/>
        </w:rPr>
      </w:pPr>
      <w:r w:rsidRPr="00882A03">
        <w:rPr>
          <w:sz w:val="24"/>
          <w:szCs w:val="24"/>
        </w:rPr>
        <w:t>The facility’s potential-to-emit exceeds the Title V threshold limits of 100 tons/year of each of the following criteria air pollutants</w:t>
      </w:r>
      <w:r>
        <w:rPr>
          <w:sz w:val="24"/>
          <w:szCs w:val="24"/>
        </w:rPr>
        <w:t xml:space="preserve">: </w:t>
      </w:r>
      <w:r w:rsidRPr="00882A03">
        <w:rPr>
          <w:sz w:val="24"/>
          <w:szCs w:val="24"/>
        </w:rPr>
        <w:t xml:space="preserve">Volatile Organic Compounds. </w:t>
      </w:r>
      <w:r>
        <w:rPr>
          <w:sz w:val="24"/>
          <w:szCs w:val="24"/>
        </w:rPr>
        <w:t>T</w:t>
      </w:r>
      <w:r w:rsidRPr="00882A03">
        <w:rPr>
          <w:sz w:val="24"/>
          <w:szCs w:val="24"/>
        </w:rPr>
        <w:t>he facility has the potential to emit more than 25 TPY of Total HAPs and/or 10 TPY of a single HAP.</w:t>
      </w:r>
      <w:r>
        <w:rPr>
          <w:sz w:val="24"/>
          <w:szCs w:val="24"/>
        </w:rPr>
        <w:t xml:space="preserve"> This facility is a major source with the regard to PSD regulations</w:t>
      </w:r>
      <w:r w:rsidR="006F7ED4">
        <w:rPr>
          <w:sz w:val="24"/>
          <w:szCs w:val="24"/>
        </w:rPr>
        <w:t xml:space="preserve"> because their VOC emissions exceed the 250 TPY PSD threshold</w:t>
      </w:r>
      <w:r>
        <w:rPr>
          <w:sz w:val="24"/>
          <w:szCs w:val="24"/>
        </w:rPr>
        <w:t>.</w:t>
      </w:r>
    </w:p>
    <w:p w14:paraId="26EC4A4F" w14:textId="77777777" w:rsidR="00531513" w:rsidRDefault="00531513" w:rsidP="00531513">
      <w:pPr>
        <w:rPr>
          <w:sz w:val="24"/>
          <w:szCs w:val="24"/>
        </w:rPr>
      </w:pPr>
    </w:p>
    <w:p w14:paraId="51EB777D" w14:textId="77777777" w:rsidR="00531513" w:rsidRDefault="00531513" w:rsidP="00531513">
      <w:pPr>
        <w:rPr>
          <w:sz w:val="24"/>
          <w:szCs w:val="24"/>
        </w:rPr>
      </w:pPr>
      <w:r>
        <w:rPr>
          <w:sz w:val="24"/>
          <w:szCs w:val="24"/>
          <w:u w:val="single"/>
        </w:rPr>
        <w:t>LEGAL AND FACTUAL BASIS FOR DRAFT PERMIT CONDITIONS</w:t>
      </w:r>
    </w:p>
    <w:p w14:paraId="5153D87E" w14:textId="77777777" w:rsidR="00531513" w:rsidRDefault="00531513" w:rsidP="00531513">
      <w:pPr>
        <w:rPr>
          <w:sz w:val="24"/>
          <w:szCs w:val="24"/>
        </w:rPr>
      </w:pPr>
    </w:p>
    <w:p w14:paraId="18A52AB3" w14:textId="77777777" w:rsidR="00531513" w:rsidRDefault="00531513" w:rsidP="00531513">
      <w:pPr>
        <w:rPr>
          <w:sz w:val="24"/>
          <w:szCs w:val="24"/>
        </w:rPr>
      </w:pPr>
      <w:r>
        <w:rPr>
          <w:sz w:val="24"/>
          <w:szCs w:val="24"/>
        </w:rPr>
        <w:t>The State and Federally-enforceable conditions of Title V Operating Permits are based upon the requirements of the State of Mississippi Air Emissions Operating Permit Regulations for the Purposes of Title V of the Federal Clean Air Act (11 Miss. Admin. Code Pt. 2, Ch. 6.), and applicable requirements effective upon the date of permit issuance.  Applicable requirement means all of the following as they apply to emissions units in a Title V source:</w:t>
      </w:r>
    </w:p>
    <w:p w14:paraId="1363CF1A" w14:textId="77777777" w:rsidR="00531513" w:rsidRDefault="00531513" w:rsidP="00531513">
      <w:pPr>
        <w:rPr>
          <w:sz w:val="24"/>
          <w:szCs w:val="24"/>
        </w:rPr>
      </w:pPr>
    </w:p>
    <w:p w14:paraId="770CC327" w14:textId="77777777" w:rsidR="00531513" w:rsidRDefault="00531513" w:rsidP="00531513">
      <w:pPr>
        <w:pStyle w:val="1"/>
        <w:ind w:left="600" w:hanging="600"/>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t>any standard or other requirement set forth in the State Implementation Plan (SIP) approved or promulgated by EPA through rulemaking under Title I of the Federal Clean Air Act (Federal Act) including the following:</w:t>
      </w:r>
    </w:p>
    <w:p w14:paraId="3FA79D8A" w14:textId="77777777" w:rsidR="00531513" w:rsidRDefault="00531513" w:rsidP="00531513">
      <w:pPr>
        <w:rPr>
          <w:sz w:val="24"/>
          <w:szCs w:val="24"/>
        </w:rPr>
      </w:pPr>
    </w:p>
    <w:p w14:paraId="1C53800A" w14:textId="77777777" w:rsidR="00531513" w:rsidRDefault="00531513" w:rsidP="00531513">
      <w:pPr>
        <w:tabs>
          <w:tab w:val="left" w:pos="720"/>
        </w:tabs>
        <w:ind w:left="1200" w:hanging="600"/>
        <w:rPr>
          <w:sz w:val="24"/>
          <w:szCs w:val="24"/>
        </w:rPr>
      </w:pPr>
      <w:r>
        <w:rPr>
          <w:sz w:val="24"/>
          <w:szCs w:val="24"/>
        </w:rPr>
        <w:t>a.</w:t>
      </w:r>
      <w:r>
        <w:rPr>
          <w:sz w:val="24"/>
          <w:szCs w:val="24"/>
        </w:rPr>
        <w:tab/>
        <w:t xml:space="preserve">most of the State of </w:t>
      </w:r>
      <w:smartTag w:uri="urn:schemas-microsoft-com:office:smarttags" w:element="place">
        <w:smartTag w:uri="urn:schemas-microsoft-com:office:smarttags" w:element="State">
          <w:r>
            <w:rPr>
              <w:sz w:val="24"/>
              <w:szCs w:val="24"/>
            </w:rPr>
            <w:t>Mississippi Air Emission Regulations</w:t>
          </w:r>
        </w:smartTag>
      </w:smartTag>
      <w:r>
        <w:rPr>
          <w:sz w:val="24"/>
          <w:szCs w:val="24"/>
        </w:rPr>
        <w:t xml:space="preserve"> for the Prevention, Abatement, and Control of Air Contaminants (11 Miss. Admin. Code Pt. 2, Ch. 1.) </w:t>
      </w:r>
    </w:p>
    <w:p w14:paraId="4A63CF5B" w14:textId="77777777" w:rsidR="00531513" w:rsidRDefault="00531513" w:rsidP="00531513">
      <w:pPr>
        <w:tabs>
          <w:tab w:val="left" w:pos="720"/>
        </w:tabs>
        <w:ind w:left="1200" w:hanging="600"/>
        <w:rPr>
          <w:sz w:val="24"/>
          <w:szCs w:val="24"/>
        </w:rPr>
      </w:pPr>
      <w:r>
        <w:rPr>
          <w:sz w:val="24"/>
          <w:szCs w:val="24"/>
        </w:rPr>
        <w:t>b.</w:t>
      </w:r>
      <w:r>
        <w:rPr>
          <w:sz w:val="24"/>
          <w:szCs w:val="24"/>
        </w:rPr>
        <w:tab/>
        <w:t xml:space="preserve">the State of </w:t>
      </w:r>
      <w:smartTag w:uri="urn:schemas-microsoft-com:office:smarttags" w:element="place">
        <w:smartTag w:uri="urn:schemas-microsoft-com:office:smarttags" w:element="State">
          <w:r>
            <w:rPr>
              <w:sz w:val="24"/>
              <w:szCs w:val="24"/>
            </w:rPr>
            <w:t>Mississippi</w:t>
          </w:r>
        </w:smartTag>
      </w:smartTag>
      <w:r>
        <w:rPr>
          <w:sz w:val="24"/>
          <w:szCs w:val="24"/>
        </w:rPr>
        <w:t xml:space="preserve"> Regulations for the Prevention of Air Pollution Emergency Episodes (11 Miss. Admin. Code Pt. 2, Ch. 3.),</w:t>
      </w:r>
    </w:p>
    <w:p w14:paraId="7216BA16" w14:textId="77777777" w:rsidR="00531513" w:rsidRDefault="00531513" w:rsidP="00531513">
      <w:pPr>
        <w:tabs>
          <w:tab w:val="left" w:pos="720"/>
        </w:tabs>
        <w:ind w:left="1200" w:hanging="600"/>
        <w:rPr>
          <w:sz w:val="24"/>
          <w:szCs w:val="24"/>
        </w:rPr>
      </w:pPr>
      <w:r>
        <w:rPr>
          <w:sz w:val="24"/>
          <w:szCs w:val="24"/>
        </w:rPr>
        <w:t>c.</w:t>
      </w:r>
      <w:r>
        <w:rPr>
          <w:sz w:val="24"/>
          <w:szCs w:val="24"/>
        </w:rPr>
        <w:tab/>
        <w:t xml:space="preserve">the State of </w:t>
      </w:r>
      <w:smartTag w:uri="urn:schemas-microsoft-com:office:smarttags" w:element="place">
        <w:smartTag w:uri="urn:schemas-microsoft-com:office:smarttags" w:element="State">
          <w:r>
            <w:rPr>
              <w:sz w:val="24"/>
              <w:szCs w:val="24"/>
            </w:rPr>
            <w:t>Mississippi Regulations</w:t>
          </w:r>
        </w:smartTag>
      </w:smartTag>
      <w:r>
        <w:rPr>
          <w:sz w:val="24"/>
          <w:szCs w:val="24"/>
        </w:rPr>
        <w:t xml:space="preserve"> for the Prevention of Significant Deterioration of Air Quality (11 Miss. Admin. Code Pt. 2, Ch. 5.), and 40 CFR Part 52.21 by reference, and</w:t>
      </w:r>
    </w:p>
    <w:p w14:paraId="6CEDCAA3" w14:textId="77777777" w:rsidR="00531513" w:rsidRDefault="00531513" w:rsidP="00531513">
      <w:pPr>
        <w:tabs>
          <w:tab w:val="left" w:pos="720"/>
        </w:tabs>
        <w:ind w:left="1200" w:hanging="600"/>
        <w:rPr>
          <w:sz w:val="24"/>
          <w:szCs w:val="24"/>
        </w:rPr>
      </w:pPr>
      <w:r>
        <w:rPr>
          <w:sz w:val="24"/>
          <w:szCs w:val="24"/>
        </w:rPr>
        <w:t>d.</w:t>
      </w:r>
      <w:r>
        <w:rPr>
          <w:sz w:val="24"/>
          <w:szCs w:val="24"/>
        </w:rPr>
        <w:tab/>
        <w:t xml:space="preserve">the provisions of the State of </w:t>
      </w:r>
      <w:smartTag w:uri="urn:schemas-microsoft-com:office:smarttags" w:element="place">
        <w:smartTag w:uri="urn:schemas-microsoft-com:office:smarttags" w:element="State">
          <w:r>
            <w:rPr>
              <w:sz w:val="24"/>
              <w:szCs w:val="24"/>
            </w:rPr>
            <w:t>Mississippi Permit Regulations</w:t>
          </w:r>
        </w:smartTag>
      </w:smartTag>
      <w:r>
        <w:rPr>
          <w:sz w:val="24"/>
          <w:szCs w:val="24"/>
        </w:rPr>
        <w:t xml:space="preserve"> for the Construction and/or Operation of Air Emissions Equipment (11 Miss. Admin. Code Pt. 2, Ch. 2.), relating to construction permits and synthetic minor operating permits;</w:t>
      </w:r>
    </w:p>
    <w:p w14:paraId="7983B7BD" w14:textId="77777777" w:rsidR="00531513" w:rsidRDefault="00531513" w:rsidP="00531513">
      <w:pPr>
        <w:rPr>
          <w:sz w:val="24"/>
          <w:szCs w:val="24"/>
        </w:rPr>
      </w:pPr>
    </w:p>
    <w:p w14:paraId="4D2CB67C" w14:textId="77777777" w:rsidR="00531513" w:rsidRDefault="00531513" w:rsidP="00531513">
      <w:pPr>
        <w:pStyle w:val="1"/>
        <w:ind w:left="600" w:hanging="60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any term or condition of any construction permits issued pursuant to </w:t>
      </w:r>
      <w:smartTag w:uri="urn:schemas-microsoft-com:office:smarttags" w:element="place">
        <w:smartTag w:uri="urn:schemas-microsoft-com:office:smarttags" w:element="State">
          <w:r>
            <w:rPr>
              <w:rFonts w:ascii="Times New Roman" w:hAnsi="Times New Roman" w:cs="Times New Roman"/>
            </w:rPr>
            <w:t>Mississippi</w:t>
          </w:r>
        </w:smartTag>
      </w:smartTag>
      <w:r>
        <w:rPr>
          <w:rFonts w:ascii="Times New Roman" w:hAnsi="Times New Roman" w:cs="Times New Roman"/>
        </w:rPr>
        <w:t xml:space="preserve"> regulations approved or promulgated through rulemaking under Title I;</w:t>
      </w:r>
    </w:p>
    <w:p w14:paraId="47619162" w14:textId="77777777" w:rsidR="00531513" w:rsidRDefault="00531513" w:rsidP="00531513">
      <w:pPr>
        <w:rPr>
          <w:sz w:val="24"/>
          <w:szCs w:val="24"/>
        </w:rPr>
      </w:pPr>
    </w:p>
    <w:p w14:paraId="05132A62" w14:textId="77777777" w:rsidR="00531513" w:rsidRDefault="00531513" w:rsidP="00531513">
      <w:pPr>
        <w:pStyle w:val="1"/>
        <w:ind w:left="600" w:hanging="60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any standard or other requirement under Section 111 of the Federal Act, including Section 111(d) which includes Title 40, Part 60 of the Code of Federal Regulations (40 CFR Part 60) and relevant sections of </w:t>
      </w:r>
      <w:r>
        <w:t>11 Miss. Admin. Code Pt. 2, Ch. 1.</w:t>
      </w:r>
      <w:r>
        <w:rPr>
          <w:rFonts w:ascii="Times New Roman" w:hAnsi="Times New Roman" w:cs="Times New Roman"/>
        </w:rPr>
        <w:t>;</w:t>
      </w:r>
    </w:p>
    <w:p w14:paraId="4B4D938B" w14:textId="77777777" w:rsidR="00531513" w:rsidRDefault="00531513" w:rsidP="00531513">
      <w:pPr>
        <w:rPr>
          <w:sz w:val="24"/>
          <w:szCs w:val="24"/>
        </w:rPr>
      </w:pPr>
    </w:p>
    <w:p w14:paraId="7A222032" w14:textId="77777777" w:rsidR="00531513" w:rsidRDefault="00531513" w:rsidP="00531513">
      <w:pPr>
        <w:pStyle w:val="1"/>
        <w:ind w:left="600" w:hanging="60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any standard or other requirement under Section 112 of the Federal Act, including relevant sections of </w:t>
      </w:r>
      <w:r>
        <w:t>11 Miss. Admin. Code Pt. 2, Ch. 1.</w:t>
      </w:r>
      <w:r>
        <w:rPr>
          <w:rFonts w:ascii="Times New Roman" w:hAnsi="Times New Roman" w:cs="Times New Roman"/>
        </w:rPr>
        <w:t>and 40 CFR Parts 61, 63, and 68;</w:t>
      </w:r>
    </w:p>
    <w:p w14:paraId="0A3A232A" w14:textId="77777777" w:rsidR="00531513" w:rsidRDefault="00531513" w:rsidP="00531513">
      <w:pPr>
        <w:rPr>
          <w:sz w:val="24"/>
          <w:szCs w:val="24"/>
        </w:rPr>
      </w:pPr>
    </w:p>
    <w:p w14:paraId="7363C59E" w14:textId="77777777" w:rsidR="00531513" w:rsidRDefault="00531513" w:rsidP="00531513">
      <w:pPr>
        <w:pStyle w:val="1"/>
        <w:ind w:left="600" w:hanging="600"/>
        <w:rPr>
          <w:rFonts w:ascii="Times New Roman" w:hAnsi="Times New Roman" w:cs="Times New Roman"/>
        </w:rPr>
      </w:pPr>
      <w:r>
        <w:rPr>
          <w:rFonts w:ascii="Times New Roman" w:hAnsi="Times New Roman" w:cs="Times New Roman"/>
        </w:rPr>
        <w:t>5.</w:t>
      </w:r>
      <w:r>
        <w:rPr>
          <w:rFonts w:ascii="Times New Roman" w:hAnsi="Times New Roman" w:cs="Times New Roman"/>
        </w:rPr>
        <w:tab/>
        <w:t>any standard or other requirement of the acid rain program under Title IV of the Federal Act or the regulations promulgated thereunder, including the State of Mississippi Acid Rain Program Permit Regulations for Purposes of Title IV of the Federal Clean Air Act (</w:t>
      </w:r>
      <w:r>
        <w:t>11 Miss. Admin. Code Pt. 2, Ch. 7.</w:t>
      </w:r>
      <w:r>
        <w:rPr>
          <w:rFonts w:ascii="Times New Roman" w:hAnsi="Times New Roman" w:cs="Times New Roman"/>
        </w:rPr>
        <w:t>)  adopted November 17, 1994, and 40 CFR Parts 72, 73, 75, 77, and 78;</w:t>
      </w:r>
    </w:p>
    <w:p w14:paraId="55A1238D" w14:textId="77777777" w:rsidR="00531513" w:rsidRDefault="00531513" w:rsidP="00531513">
      <w:pPr>
        <w:rPr>
          <w:sz w:val="24"/>
          <w:szCs w:val="24"/>
        </w:rPr>
      </w:pPr>
    </w:p>
    <w:p w14:paraId="21DDBA75" w14:textId="77777777" w:rsidR="00531513" w:rsidRDefault="00531513" w:rsidP="00531513">
      <w:pPr>
        <w:pStyle w:val="1"/>
        <w:ind w:left="600" w:hanging="600"/>
        <w:rPr>
          <w:rFonts w:ascii="Times New Roman" w:hAnsi="Times New Roman" w:cs="Times New Roman"/>
        </w:rPr>
      </w:pPr>
      <w:r>
        <w:rPr>
          <w:rFonts w:ascii="Times New Roman" w:hAnsi="Times New Roman" w:cs="Times New Roman"/>
        </w:rPr>
        <w:t>6.</w:t>
      </w:r>
      <w:r>
        <w:rPr>
          <w:rFonts w:ascii="Times New Roman" w:hAnsi="Times New Roman" w:cs="Times New Roman"/>
        </w:rPr>
        <w:tab/>
        <w:t>any requirements established pursuant to Section 504(b) or Section 114(a)(3) of the Federal Act;</w:t>
      </w:r>
    </w:p>
    <w:p w14:paraId="5246D300" w14:textId="77777777" w:rsidR="00531513" w:rsidRDefault="00531513" w:rsidP="00531513">
      <w:pPr>
        <w:rPr>
          <w:sz w:val="24"/>
          <w:szCs w:val="24"/>
        </w:rPr>
      </w:pPr>
    </w:p>
    <w:p w14:paraId="02197F32" w14:textId="77777777" w:rsidR="00531513" w:rsidRDefault="00531513" w:rsidP="00531513">
      <w:pPr>
        <w:pStyle w:val="1"/>
        <w:ind w:left="600" w:hanging="600"/>
        <w:rPr>
          <w:rFonts w:ascii="Times New Roman" w:hAnsi="Times New Roman" w:cs="Times New Roman"/>
        </w:rPr>
      </w:pPr>
      <w:r>
        <w:rPr>
          <w:rFonts w:ascii="Times New Roman" w:hAnsi="Times New Roman" w:cs="Times New Roman"/>
        </w:rPr>
        <w:t>7.</w:t>
      </w:r>
      <w:r>
        <w:rPr>
          <w:rFonts w:ascii="Times New Roman" w:hAnsi="Times New Roman" w:cs="Times New Roman"/>
        </w:rPr>
        <w:tab/>
        <w:t>any standard or other requirement governing solid waste incineration under Section 129 of the Federal Act;</w:t>
      </w:r>
    </w:p>
    <w:p w14:paraId="27314CA0" w14:textId="77777777" w:rsidR="00531513" w:rsidRDefault="00531513" w:rsidP="00531513">
      <w:pPr>
        <w:rPr>
          <w:sz w:val="24"/>
          <w:szCs w:val="24"/>
        </w:rPr>
      </w:pPr>
    </w:p>
    <w:p w14:paraId="29555718" w14:textId="77777777" w:rsidR="00531513" w:rsidRDefault="00531513" w:rsidP="00531513">
      <w:pPr>
        <w:pStyle w:val="1"/>
        <w:ind w:left="600" w:hanging="600"/>
        <w:rPr>
          <w:rFonts w:ascii="Times New Roman" w:hAnsi="Times New Roman" w:cs="Times New Roman"/>
        </w:rPr>
      </w:pPr>
      <w:r>
        <w:rPr>
          <w:rFonts w:ascii="Times New Roman" w:hAnsi="Times New Roman" w:cs="Times New Roman"/>
        </w:rPr>
        <w:t>8.</w:t>
      </w:r>
      <w:r>
        <w:rPr>
          <w:rFonts w:ascii="Times New Roman" w:hAnsi="Times New Roman" w:cs="Times New Roman"/>
        </w:rPr>
        <w:tab/>
        <w:t>any standard or other requirement for consumer and commercial products under Section 183(e) of the Federal Act;</w:t>
      </w:r>
    </w:p>
    <w:p w14:paraId="49FAEA57" w14:textId="77777777" w:rsidR="00531513" w:rsidRDefault="00531513" w:rsidP="00531513">
      <w:pPr>
        <w:rPr>
          <w:sz w:val="24"/>
          <w:szCs w:val="24"/>
        </w:rPr>
      </w:pPr>
    </w:p>
    <w:p w14:paraId="39FCF568" w14:textId="77777777" w:rsidR="00531513" w:rsidRDefault="00531513" w:rsidP="00531513">
      <w:pPr>
        <w:pStyle w:val="1"/>
        <w:ind w:left="600" w:hanging="600"/>
        <w:rPr>
          <w:rFonts w:ascii="Times New Roman" w:hAnsi="Times New Roman" w:cs="Times New Roman"/>
        </w:rPr>
      </w:pPr>
      <w:r>
        <w:rPr>
          <w:rFonts w:ascii="Times New Roman" w:hAnsi="Times New Roman" w:cs="Times New Roman"/>
        </w:rPr>
        <w:t>9.</w:t>
      </w:r>
      <w:r>
        <w:rPr>
          <w:rFonts w:ascii="Times New Roman" w:hAnsi="Times New Roman" w:cs="Times New Roman"/>
        </w:rPr>
        <w:tab/>
        <w:t>any standard or other requirement for tank vessels under Section 183(f) of the Federal Act;</w:t>
      </w:r>
    </w:p>
    <w:p w14:paraId="385F5C8A" w14:textId="77777777" w:rsidR="00531513" w:rsidRDefault="00531513" w:rsidP="00531513">
      <w:pPr>
        <w:rPr>
          <w:sz w:val="24"/>
          <w:szCs w:val="24"/>
        </w:rPr>
      </w:pPr>
    </w:p>
    <w:p w14:paraId="3D6DF818" w14:textId="77777777" w:rsidR="00531513" w:rsidRDefault="00531513" w:rsidP="00531513">
      <w:pPr>
        <w:pStyle w:val="1"/>
        <w:ind w:left="600" w:hanging="600"/>
        <w:rPr>
          <w:rFonts w:ascii="Times New Roman" w:hAnsi="Times New Roman" w:cs="Times New Roman"/>
        </w:rPr>
      </w:pPr>
      <w:r>
        <w:rPr>
          <w:rFonts w:ascii="Times New Roman" w:hAnsi="Times New Roman" w:cs="Times New Roman"/>
        </w:rPr>
        <w:t>10.</w:t>
      </w:r>
      <w:r>
        <w:rPr>
          <w:rFonts w:ascii="Times New Roman" w:hAnsi="Times New Roman" w:cs="Times New Roman"/>
        </w:rPr>
        <w:tab/>
        <w:t>any standard or other requirement of the program to control air pollution from outer continental shelf sources under Section 328 of the Federal Act;</w:t>
      </w:r>
    </w:p>
    <w:p w14:paraId="3ED38204" w14:textId="77777777" w:rsidR="00531513" w:rsidRDefault="00531513" w:rsidP="00531513">
      <w:pPr>
        <w:rPr>
          <w:sz w:val="24"/>
          <w:szCs w:val="24"/>
        </w:rPr>
      </w:pPr>
    </w:p>
    <w:p w14:paraId="532FB05D" w14:textId="77777777" w:rsidR="00531513" w:rsidRDefault="00531513" w:rsidP="00531513">
      <w:pPr>
        <w:pStyle w:val="1"/>
        <w:ind w:left="600" w:hanging="600"/>
        <w:rPr>
          <w:rFonts w:ascii="Times New Roman" w:hAnsi="Times New Roman" w:cs="Times New Roman"/>
        </w:rPr>
      </w:pPr>
      <w:r>
        <w:rPr>
          <w:rFonts w:ascii="Times New Roman" w:hAnsi="Times New Roman" w:cs="Times New Roman"/>
        </w:rPr>
        <w:lastRenderedPageBreak/>
        <w:t>11.</w:t>
      </w:r>
      <w:r>
        <w:rPr>
          <w:rFonts w:ascii="Times New Roman" w:hAnsi="Times New Roman" w:cs="Times New Roman"/>
        </w:rPr>
        <w:tab/>
        <w:t>any standard or other requirement of the regulations promulgated to protect stratospheric ozone under Title VI of the Federal Act;</w:t>
      </w:r>
    </w:p>
    <w:p w14:paraId="678DC29D" w14:textId="77777777" w:rsidR="00531513" w:rsidRDefault="00531513" w:rsidP="00531513">
      <w:pPr>
        <w:rPr>
          <w:sz w:val="24"/>
          <w:szCs w:val="24"/>
        </w:rPr>
      </w:pPr>
    </w:p>
    <w:p w14:paraId="446FF147" w14:textId="77777777" w:rsidR="00531513" w:rsidRDefault="00531513" w:rsidP="00531513">
      <w:pPr>
        <w:pStyle w:val="1"/>
        <w:ind w:left="600" w:hanging="600"/>
        <w:rPr>
          <w:rFonts w:ascii="Times New Roman" w:hAnsi="Times New Roman" w:cs="Times New Roman"/>
        </w:rPr>
      </w:pPr>
      <w:r>
        <w:rPr>
          <w:rFonts w:ascii="Times New Roman" w:hAnsi="Times New Roman" w:cs="Times New Roman"/>
        </w:rPr>
        <w:t>12.</w:t>
      </w:r>
      <w:r>
        <w:rPr>
          <w:rFonts w:ascii="Times New Roman" w:hAnsi="Times New Roman" w:cs="Times New Roman"/>
        </w:rPr>
        <w:tab/>
        <w:t>any national ambient air quality standard or increment or visibility requirement under part C of Title I of the Federal Act.</w:t>
      </w:r>
    </w:p>
    <w:p w14:paraId="15880E62" w14:textId="77777777" w:rsidR="00531513" w:rsidRDefault="00531513" w:rsidP="00531513">
      <w:pPr>
        <w:rPr>
          <w:sz w:val="24"/>
          <w:szCs w:val="24"/>
        </w:rPr>
      </w:pPr>
    </w:p>
    <w:p w14:paraId="1F9C740F" w14:textId="77777777" w:rsidR="00531513" w:rsidRDefault="00531513" w:rsidP="00531513">
      <w:pPr>
        <w:pStyle w:val="BodyText"/>
        <w:widowControl/>
        <w:spacing w:after="0"/>
      </w:pPr>
      <w:r>
        <w:t>Each State and Federally-enforceable condition of the draft Title V Operating Permit references the specific relevant requirements of 11 Miss. Admin. Code Pt. 2, Ch. 6.or the applicable requirement upon which it is based. Any condition of the draft Title V permit that is enforceable by the State but is not Federally-enforceable is identified in the draft Title V permit as such.</w:t>
      </w:r>
    </w:p>
    <w:p w14:paraId="501D2E9A" w14:textId="77777777" w:rsidR="00531513" w:rsidRDefault="00531513" w:rsidP="00531513">
      <w:pPr>
        <w:rPr>
          <w:sz w:val="24"/>
          <w:szCs w:val="24"/>
        </w:rPr>
      </w:pPr>
    </w:p>
    <w:p w14:paraId="0A91AAE8" w14:textId="16E004CB" w:rsidR="00531513" w:rsidRDefault="00531513" w:rsidP="00531513">
      <w:pPr>
        <w:rPr>
          <w:sz w:val="24"/>
          <w:szCs w:val="24"/>
          <w:u w:val="single"/>
        </w:rPr>
      </w:pPr>
      <w:smartTag w:uri="urn:schemas-microsoft-com:office:smarttags" w:element="place">
        <w:r w:rsidRPr="009B0E2D">
          <w:rPr>
            <w:sz w:val="24"/>
            <w:szCs w:val="24"/>
            <w:u w:val="single"/>
          </w:rPr>
          <w:t>CAM</w:t>
        </w:r>
      </w:smartTag>
      <w:r w:rsidRPr="009B0E2D">
        <w:rPr>
          <w:sz w:val="24"/>
          <w:szCs w:val="24"/>
          <w:u w:val="single"/>
        </w:rPr>
        <w:t xml:space="preserve"> APPLICABILITY</w:t>
      </w:r>
    </w:p>
    <w:p w14:paraId="2B24B0AC" w14:textId="77777777" w:rsidR="00E1385B" w:rsidRDefault="00E1385B" w:rsidP="00531513">
      <w:pPr>
        <w:rPr>
          <w:sz w:val="24"/>
          <w:szCs w:val="24"/>
        </w:rPr>
      </w:pPr>
    </w:p>
    <w:p w14:paraId="11563B69" w14:textId="474984D1" w:rsidR="0049100B" w:rsidRDefault="0049100B" w:rsidP="0049100B">
      <w:pPr>
        <w:jc w:val="both"/>
        <w:rPr>
          <w:sz w:val="24"/>
          <w:szCs w:val="24"/>
        </w:rPr>
      </w:pPr>
      <w:smartTag w:uri="urn:schemas-microsoft-com:office:smarttags" w:element="place">
        <w:r>
          <w:rPr>
            <w:sz w:val="24"/>
            <w:szCs w:val="24"/>
          </w:rPr>
          <w:t>CAM</w:t>
        </w:r>
      </w:smartTag>
      <w:r>
        <w:rPr>
          <w:sz w:val="24"/>
          <w:szCs w:val="24"/>
        </w:rPr>
        <w:t xml:space="preserve"> applies to those units which use a control device to achieve compliance with an emission limit and where the pre-controlled emissions from the unit exceed major source thresholds. </w:t>
      </w:r>
      <w:r w:rsidR="0069213D">
        <w:rPr>
          <w:sz w:val="24"/>
          <w:szCs w:val="24"/>
        </w:rPr>
        <w:t xml:space="preserve">Since </w:t>
      </w:r>
      <w:r>
        <w:rPr>
          <w:sz w:val="24"/>
          <w:szCs w:val="24"/>
        </w:rPr>
        <w:t xml:space="preserve">Boiler No. 2 </w:t>
      </w:r>
      <w:r w:rsidR="008962E4">
        <w:rPr>
          <w:sz w:val="24"/>
          <w:szCs w:val="24"/>
        </w:rPr>
        <w:t>(</w:t>
      </w:r>
      <w:r w:rsidR="00BB6225">
        <w:rPr>
          <w:sz w:val="24"/>
          <w:szCs w:val="24"/>
        </w:rPr>
        <w:t xml:space="preserve">Emission Point </w:t>
      </w:r>
      <w:r w:rsidR="008962E4">
        <w:rPr>
          <w:sz w:val="24"/>
          <w:szCs w:val="24"/>
        </w:rPr>
        <w:t>AA-002)</w:t>
      </w:r>
      <w:r w:rsidR="00457DE6">
        <w:rPr>
          <w:sz w:val="24"/>
          <w:szCs w:val="24"/>
        </w:rPr>
        <w:t xml:space="preserve"> </w:t>
      </w:r>
      <w:r w:rsidR="009B0E2D">
        <w:rPr>
          <w:sz w:val="24"/>
          <w:szCs w:val="24"/>
        </w:rPr>
        <w:t xml:space="preserve">is out of service, </w:t>
      </w:r>
      <w:r>
        <w:rPr>
          <w:sz w:val="24"/>
          <w:szCs w:val="24"/>
        </w:rPr>
        <w:t>CAM requirements</w:t>
      </w:r>
      <w:r w:rsidR="009B0E2D">
        <w:rPr>
          <w:sz w:val="24"/>
          <w:szCs w:val="24"/>
        </w:rPr>
        <w:t xml:space="preserve"> no longer apply</w:t>
      </w:r>
      <w:r>
        <w:rPr>
          <w:sz w:val="24"/>
          <w:szCs w:val="24"/>
        </w:rPr>
        <w:t>.</w:t>
      </w:r>
    </w:p>
    <w:p w14:paraId="3431D64E" w14:textId="77777777" w:rsidR="00531513" w:rsidRDefault="00531513" w:rsidP="00531513">
      <w:pPr>
        <w:rPr>
          <w:sz w:val="24"/>
          <w:szCs w:val="24"/>
        </w:rPr>
      </w:pPr>
    </w:p>
    <w:p w14:paraId="76F739C9" w14:textId="399A708E" w:rsidR="00531513" w:rsidRDefault="00531513" w:rsidP="00531513">
      <w:pPr>
        <w:rPr>
          <w:sz w:val="24"/>
          <w:szCs w:val="24"/>
          <w:u w:val="single"/>
        </w:rPr>
      </w:pPr>
      <w:r w:rsidRPr="00217E7A">
        <w:rPr>
          <w:sz w:val="24"/>
          <w:szCs w:val="24"/>
          <w:u w:val="single"/>
        </w:rPr>
        <w:t>MACT APPLICABILITY</w:t>
      </w:r>
    </w:p>
    <w:p w14:paraId="74DCC8A8" w14:textId="77777777" w:rsidR="00E1385B" w:rsidRPr="00217E7A" w:rsidRDefault="00E1385B" w:rsidP="00531513">
      <w:pPr>
        <w:rPr>
          <w:sz w:val="24"/>
          <w:szCs w:val="24"/>
          <w:u w:val="single"/>
        </w:rPr>
      </w:pPr>
    </w:p>
    <w:p w14:paraId="0570D0DB" w14:textId="1DC8E0B4" w:rsidR="001A7D68" w:rsidRDefault="001A7D68" w:rsidP="001A7D68">
      <w:pPr>
        <w:jc w:val="both"/>
        <w:rPr>
          <w:sz w:val="24"/>
          <w:szCs w:val="24"/>
        </w:rPr>
      </w:pPr>
      <w:bookmarkStart w:id="1" w:name="Text2"/>
      <w:r>
        <w:rPr>
          <w:sz w:val="24"/>
          <w:szCs w:val="24"/>
        </w:rPr>
        <w:t>Emission Point</w:t>
      </w:r>
      <w:r w:rsidR="006955BA">
        <w:rPr>
          <w:sz w:val="24"/>
          <w:szCs w:val="24"/>
        </w:rPr>
        <w:t>s</w:t>
      </w:r>
      <w:r>
        <w:rPr>
          <w:sz w:val="24"/>
          <w:szCs w:val="24"/>
        </w:rPr>
        <w:t xml:space="preserve"> AA-0</w:t>
      </w:r>
      <w:r w:rsidR="006955BA">
        <w:rPr>
          <w:sz w:val="24"/>
          <w:szCs w:val="24"/>
        </w:rPr>
        <w:t>18 and AA-019</w:t>
      </w:r>
      <w:r>
        <w:rPr>
          <w:sz w:val="24"/>
          <w:szCs w:val="24"/>
        </w:rPr>
        <w:t xml:space="preserve"> are affected sources, as defined in 40 CFR 63.2231 (a) of 40 CFR 63 Subpart DDDD</w:t>
      </w:r>
      <w:r w:rsidR="006955BA">
        <w:rPr>
          <w:sz w:val="24"/>
          <w:szCs w:val="24"/>
        </w:rPr>
        <w:t>-</w:t>
      </w:r>
      <w:r>
        <w:rPr>
          <w:sz w:val="24"/>
          <w:szCs w:val="24"/>
        </w:rPr>
        <w:t xml:space="preserve"> National Emission Standards for Hazardous Air Pollutants: Plywood and Composite Wood Products.  The only requirement found in the rule for these kilns was the initial notification form, which has already been submitted to MDEQ.  There are no emission limits, recordkeeping, or reporting requirements in Subpart DDDD that are applicable to these kilns. </w:t>
      </w:r>
    </w:p>
    <w:p w14:paraId="54090659" w14:textId="77777777" w:rsidR="001A7D68" w:rsidRDefault="001A7D68" w:rsidP="001A7D68">
      <w:pPr>
        <w:jc w:val="both"/>
        <w:rPr>
          <w:sz w:val="24"/>
          <w:szCs w:val="24"/>
        </w:rPr>
      </w:pPr>
    </w:p>
    <w:bookmarkEnd w:id="1"/>
    <w:p w14:paraId="79456549" w14:textId="18509368" w:rsidR="001A7D68" w:rsidRDefault="001A7D68" w:rsidP="001A7D68">
      <w:pPr>
        <w:rPr>
          <w:rStyle w:val="div6head"/>
        </w:rPr>
      </w:pPr>
      <w:r>
        <w:rPr>
          <w:sz w:val="24"/>
          <w:szCs w:val="24"/>
        </w:rPr>
        <w:t xml:space="preserve">The facility </w:t>
      </w:r>
      <w:r w:rsidR="0023774A">
        <w:rPr>
          <w:sz w:val="24"/>
          <w:szCs w:val="24"/>
        </w:rPr>
        <w:t>is subject to</w:t>
      </w:r>
      <w:r w:rsidRPr="00482A40">
        <w:rPr>
          <w:rStyle w:val="div6head"/>
          <w:sz w:val="24"/>
          <w:szCs w:val="24"/>
        </w:rPr>
        <w:t xml:space="preserve"> 40 CFR 63 Subpart ZZZZ</w:t>
      </w:r>
      <w:r>
        <w:rPr>
          <w:rStyle w:val="div6head"/>
          <w:sz w:val="24"/>
          <w:szCs w:val="24"/>
        </w:rPr>
        <w:t>-</w:t>
      </w:r>
      <w:r w:rsidRPr="00482A40">
        <w:rPr>
          <w:rStyle w:val="div6head"/>
          <w:sz w:val="24"/>
          <w:szCs w:val="24"/>
        </w:rPr>
        <w:t>National Emissions Standards For Hazardous Air Pollutants For Stationary Reciprocating Internal Combustion Engines</w:t>
      </w:r>
      <w:r w:rsidR="0023774A">
        <w:rPr>
          <w:rStyle w:val="div6head"/>
          <w:sz w:val="24"/>
          <w:szCs w:val="24"/>
        </w:rPr>
        <w:t xml:space="preserve"> because it has an existing CI RICE (AA-017) for an emergency fire</w:t>
      </w:r>
      <w:r w:rsidR="00FE226D">
        <w:rPr>
          <w:rStyle w:val="div6head"/>
          <w:sz w:val="24"/>
          <w:szCs w:val="24"/>
        </w:rPr>
        <w:t xml:space="preserve"> </w:t>
      </w:r>
      <w:r w:rsidR="0023774A">
        <w:rPr>
          <w:rStyle w:val="div6head"/>
          <w:sz w:val="24"/>
          <w:szCs w:val="24"/>
        </w:rPr>
        <w:t>pump.</w:t>
      </w:r>
    </w:p>
    <w:p w14:paraId="764BA35E" w14:textId="77777777" w:rsidR="001A7D68" w:rsidRPr="00482A40" w:rsidRDefault="001A7D68" w:rsidP="001A7D68"/>
    <w:p w14:paraId="4EC7451C" w14:textId="550AC366" w:rsidR="00486BB2" w:rsidRDefault="00486BB2" w:rsidP="00486BB2">
      <w:pPr>
        <w:rPr>
          <w:sz w:val="24"/>
          <w:szCs w:val="24"/>
          <w:u w:val="single"/>
        </w:rPr>
      </w:pPr>
      <w:r w:rsidRPr="00217E7A">
        <w:rPr>
          <w:sz w:val="24"/>
          <w:szCs w:val="24"/>
          <w:u w:val="single"/>
        </w:rPr>
        <w:t>NEW SOURCE PERFORMANCE STANDARDS APPLICABILITY</w:t>
      </w:r>
    </w:p>
    <w:p w14:paraId="18F70F53" w14:textId="77777777" w:rsidR="00E1385B" w:rsidRDefault="00E1385B" w:rsidP="00486BB2">
      <w:pPr>
        <w:rPr>
          <w:sz w:val="24"/>
          <w:szCs w:val="24"/>
          <w:u w:val="single"/>
        </w:rPr>
      </w:pPr>
    </w:p>
    <w:p w14:paraId="4DB315AB" w14:textId="1190155C" w:rsidR="00486BB2" w:rsidRDefault="00486BB2" w:rsidP="00486BB2">
      <w:pPr>
        <w:rPr>
          <w:sz w:val="24"/>
          <w:szCs w:val="24"/>
        </w:rPr>
      </w:pPr>
      <w:r>
        <w:rPr>
          <w:sz w:val="24"/>
          <w:szCs w:val="24"/>
        </w:rPr>
        <w:t>The facility is</w:t>
      </w:r>
      <w:r w:rsidR="00217E7A">
        <w:rPr>
          <w:sz w:val="24"/>
          <w:szCs w:val="24"/>
        </w:rPr>
        <w:t xml:space="preserve"> no longer</w:t>
      </w:r>
      <w:r>
        <w:rPr>
          <w:sz w:val="24"/>
          <w:szCs w:val="24"/>
        </w:rPr>
        <w:t xml:space="preserve"> subject to </w:t>
      </w:r>
      <w:r w:rsidR="00217E7A">
        <w:rPr>
          <w:sz w:val="24"/>
          <w:szCs w:val="24"/>
        </w:rPr>
        <w:t>the</w:t>
      </w:r>
      <w:r>
        <w:rPr>
          <w:sz w:val="24"/>
          <w:szCs w:val="24"/>
        </w:rPr>
        <w:t xml:space="preserve"> requirements</w:t>
      </w:r>
      <w:r w:rsidRPr="006F73AB">
        <w:rPr>
          <w:sz w:val="24"/>
          <w:szCs w:val="24"/>
        </w:rPr>
        <w:t xml:space="preserve"> of NSPS Subpart Dc, Standards of Performance for Institutional Steam Generating Units</w:t>
      </w:r>
      <w:r>
        <w:rPr>
          <w:b/>
          <w:bCs/>
          <w:sz w:val="24"/>
          <w:szCs w:val="24"/>
        </w:rPr>
        <w:t xml:space="preserve"> </w:t>
      </w:r>
      <w:r w:rsidRPr="00FF5CBD">
        <w:rPr>
          <w:sz w:val="24"/>
          <w:szCs w:val="24"/>
        </w:rPr>
        <w:t xml:space="preserve">for </w:t>
      </w:r>
      <w:r>
        <w:rPr>
          <w:sz w:val="24"/>
          <w:szCs w:val="24"/>
        </w:rPr>
        <w:t>the 1</w:t>
      </w:r>
      <w:r w:rsidR="00BB6225">
        <w:rPr>
          <w:sz w:val="24"/>
          <w:szCs w:val="24"/>
        </w:rPr>
        <w:t>15</w:t>
      </w:r>
      <w:r>
        <w:rPr>
          <w:sz w:val="24"/>
          <w:szCs w:val="24"/>
        </w:rPr>
        <w:t xml:space="preserve"> MMBtu/</w:t>
      </w:r>
      <w:proofErr w:type="spellStart"/>
      <w:r>
        <w:rPr>
          <w:sz w:val="24"/>
          <w:szCs w:val="24"/>
        </w:rPr>
        <w:t>hr</w:t>
      </w:r>
      <w:proofErr w:type="spellEnd"/>
      <w:r>
        <w:rPr>
          <w:sz w:val="24"/>
          <w:szCs w:val="24"/>
        </w:rPr>
        <w:t xml:space="preserve"> </w:t>
      </w:r>
      <w:proofErr w:type="spellStart"/>
      <w:r>
        <w:rPr>
          <w:sz w:val="24"/>
          <w:szCs w:val="24"/>
        </w:rPr>
        <w:t>Woodwaste</w:t>
      </w:r>
      <w:proofErr w:type="spellEnd"/>
      <w:r>
        <w:rPr>
          <w:sz w:val="24"/>
          <w:szCs w:val="24"/>
        </w:rPr>
        <w:t xml:space="preserve"> Boiler</w:t>
      </w:r>
      <w:r w:rsidR="00BB6225">
        <w:rPr>
          <w:sz w:val="24"/>
          <w:szCs w:val="24"/>
        </w:rPr>
        <w:t xml:space="preserve"> (Emission Point AA-002)</w:t>
      </w:r>
      <w:r>
        <w:rPr>
          <w:sz w:val="24"/>
          <w:szCs w:val="24"/>
        </w:rPr>
        <w:t xml:space="preserve">, </w:t>
      </w:r>
      <w:r w:rsidR="00217E7A">
        <w:rPr>
          <w:sz w:val="24"/>
          <w:szCs w:val="24"/>
        </w:rPr>
        <w:t>since it was taken out of service.</w:t>
      </w:r>
    </w:p>
    <w:p w14:paraId="6A531A6F" w14:textId="77777777" w:rsidR="00531513" w:rsidRDefault="00531513" w:rsidP="00531513">
      <w:pPr>
        <w:jc w:val="both"/>
        <w:rPr>
          <w:sz w:val="24"/>
          <w:szCs w:val="24"/>
        </w:rPr>
      </w:pPr>
    </w:p>
    <w:p w14:paraId="112A01F3" w14:textId="77777777" w:rsidR="00FB3ACE" w:rsidRDefault="00FB3ACE" w:rsidP="00531513">
      <w:pPr>
        <w:jc w:val="both"/>
        <w:rPr>
          <w:sz w:val="24"/>
          <w:szCs w:val="24"/>
        </w:rPr>
      </w:pPr>
    </w:p>
    <w:p w14:paraId="4D9F5628" w14:textId="70C61F54" w:rsidR="00531513" w:rsidRDefault="00531513" w:rsidP="00531513">
      <w:pPr>
        <w:rPr>
          <w:sz w:val="24"/>
          <w:szCs w:val="24"/>
          <w:u w:val="single"/>
        </w:rPr>
      </w:pPr>
      <w:r w:rsidRPr="008C1A4F">
        <w:rPr>
          <w:sz w:val="24"/>
          <w:szCs w:val="24"/>
          <w:u w:val="single"/>
        </w:rPr>
        <w:t>SPECIFIC APPLICABLE REQUIREMENTS</w:t>
      </w:r>
    </w:p>
    <w:p w14:paraId="7BACD13F" w14:textId="77777777" w:rsidR="00FB39DA" w:rsidRDefault="00FB39DA" w:rsidP="00531513">
      <w:pPr>
        <w:rPr>
          <w:sz w:val="24"/>
          <w:szCs w:val="24"/>
          <w:u w:val="single"/>
        </w:rPr>
      </w:pPr>
    </w:p>
    <w:p w14:paraId="7456755A" w14:textId="64E62A09" w:rsidR="001B0B51" w:rsidRPr="0086722F" w:rsidRDefault="00FB39DA" w:rsidP="001B0B51">
      <w:pPr>
        <w:rPr>
          <w:sz w:val="24"/>
          <w:szCs w:val="24"/>
        </w:rPr>
      </w:pPr>
      <w:r w:rsidRPr="0086722F">
        <w:rPr>
          <w:sz w:val="24"/>
          <w:szCs w:val="24"/>
        </w:rPr>
        <w:t xml:space="preserve">In the PSD Construction Permit issued April 1, 2016, the </w:t>
      </w:r>
      <w:r w:rsidR="001B0B51" w:rsidRPr="0086722F">
        <w:rPr>
          <w:sz w:val="24"/>
          <w:szCs w:val="24"/>
        </w:rPr>
        <w:t xml:space="preserve">PM limits </w:t>
      </w:r>
      <w:r w:rsidRPr="0086722F">
        <w:rPr>
          <w:sz w:val="24"/>
          <w:szCs w:val="24"/>
        </w:rPr>
        <w:t>were removed for Emission Points</w:t>
      </w:r>
      <w:r w:rsidR="001B0B51" w:rsidRPr="0086722F">
        <w:rPr>
          <w:sz w:val="24"/>
          <w:szCs w:val="24"/>
        </w:rPr>
        <w:t xml:space="preserve"> AA-004 (Truck Chip Bins</w:t>
      </w:r>
      <w:r w:rsidRPr="0086722F">
        <w:rPr>
          <w:sz w:val="24"/>
          <w:szCs w:val="24"/>
        </w:rPr>
        <w:t xml:space="preserve"> </w:t>
      </w:r>
      <w:r w:rsidR="001B0B51" w:rsidRPr="0086722F">
        <w:rPr>
          <w:sz w:val="24"/>
          <w:szCs w:val="24"/>
        </w:rPr>
        <w:t>Cyclone), AA-005 (#1 Planer Cyclone) and AA-006 (#1 Planer Shavings Truck Bin Cyclone)</w:t>
      </w:r>
      <w:r w:rsidRPr="0086722F">
        <w:rPr>
          <w:sz w:val="24"/>
          <w:szCs w:val="24"/>
        </w:rPr>
        <w:t>. T</w:t>
      </w:r>
      <w:r w:rsidR="001B0B51" w:rsidRPr="0086722F">
        <w:rPr>
          <w:sz w:val="24"/>
          <w:szCs w:val="24"/>
        </w:rPr>
        <w:t>he throughput for the cyclones is limited to the drying capacity of the kilns. Also, the facility ha</w:t>
      </w:r>
      <w:r w:rsidRPr="0086722F">
        <w:rPr>
          <w:sz w:val="24"/>
          <w:szCs w:val="24"/>
        </w:rPr>
        <w:t>d</w:t>
      </w:r>
      <w:r w:rsidR="001B0B51" w:rsidRPr="0086722F">
        <w:rPr>
          <w:sz w:val="24"/>
          <w:szCs w:val="24"/>
        </w:rPr>
        <w:t xml:space="preserve"> shown a large margin of compliance</w:t>
      </w:r>
      <w:r w:rsidRPr="0086722F">
        <w:rPr>
          <w:sz w:val="24"/>
          <w:szCs w:val="24"/>
        </w:rPr>
        <w:t xml:space="preserve"> </w:t>
      </w:r>
      <w:r w:rsidR="001B0B51" w:rsidRPr="0086722F">
        <w:rPr>
          <w:sz w:val="24"/>
          <w:szCs w:val="24"/>
        </w:rPr>
        <w:t>with their PM limitations through performance stack tests.</w:t>
      </w:r>
    </w:p>
    <w:p w14:paraId="6CE783CB" w14:textId="08B7EB80" w:rsidR="00704A13" w:rsidRPr="0086722F" w:rsidRDefault="00704A13" w:rsidP="001B0B51">
      <w:pPr>
        <w:rPr>
          <w:sz w:val="24"/>
          <w:szCs w:val="24"/>
        </w:rPr>
      </w:pPr>
    </w:p>
    <w:p w14:paraId="12D23E95" w14:textId="140C3C59" w:rsidR="00704A13" w:rsidRDefault="00131A17" w:rsidP="001B0B51">
      <w:pPr>
        <w:rPr>
          <w:sz w:val="24"/>
          <w:szCs w:val="24"/>
          <w:u w:val="single"/>
        </w:rPr>
      </w:pPr>
      <w:r w:rsidRPr="0086722F">
        <w:rPr>
          <w:sz w:val="24"/>
          <w:szCs w:val="24"/>
        </w:rPr>
        <w:t xml:space="preserve">The Entire Facility, including </w:t>
      </w:r>
      <w:r w:rsidR="009D1ADA" w:rsidRPr="0086722F">
        <w:rPr>
          <w:sz w:val="24"/>
          <w:szCs w:val="24"/>
        </w:rPr>
        <w:t xml:space="preserve">Emission Points </w:t>
      </w:r>
      <w:r w:rsidR="009032A6" w:rsidRPr="0086722F">
        <w:rPr>
          <w:sz w:val="24"/>
          <w:szCs w:val="24"/>
        </w:rPr>
        <w:t>AA-004</w:t>
      </w:r>
      <w:r w:rsidR="009032A6" w:rsidRPr="0086722F">
        <w:t xml:space="preserve"> (</w:t>
      </w:r>
      <w:r w:rsidR="009032A6" w:rsidRPr="0086722F">
        <w:rPr>
          <w:sz w:val="24"/>
          <w:szCs w:val="24"/>
        </w:rPr>
        <w:t xml:space="preserve">Truck Chip Bins Cyclone), AA-005 (Planer Cyclone), AA-006 ( #1 Planer Shavings Truck Bin Cyclone), </w:t>
      </w:r>
      <w:r w:rsidR="009D1ADA" w:rsidRPr="0086722F">
        <w:rPr>
          <w:sz w:val="24"/>
          <w:szCs w:val="24"/>
        </w:rPr>
        <w:t xml:space="preserve">AA-020 and AA-021 (Fuel </w:t>
      </w:r>
      <w:r w:rsidR="009D1ADA" w:rsidRPr="0086722F">
        <w:rPr>
          <w:sz w:val="24"/>
          <w:szCs w:val="24"/>
        </w:rPr>
        <w:lastRenderedPageBreak/>
        <w:t>Bin Cyclones for</w:t>
      </w:r>
      <w:r w:rsidR="00341771" w:rsidRPr="0086722F">
        <w:rPr>
          <w:sz w:val="24"/>
          <w:szCs w:val="24"/>
        </w:rPr>
        <w:t xml:space="preserve"> kilns </w:t>
      </w:r>
      <w:r w:rsidR="009D1ADA" w:rsidRPr="0086722F">
        <w:rPr>
          <w:sz w:val="24"/>
          <w:szCs w:val="24"/>
        </w:rPr>
        <w:t>AA-018 and AA-019 respectively)</w:t>
      </w:r>
      <w:r w:rsidRPr="0086722F">
        <w:rPr>
          <w:sz w:val="24"/>
          <w:szCs w:val="24"/>
        </w:rPr>
        <w:t>, is subject to a 40% opacity limit</w:t>
      </w:r>
      <w:r w:rsidR="009E10F6" w:rsidRPr="0086722F">
        <w:rPr>
          <w:sz w:val="24"/>
          <w:szCs w:val="24"/>
        </w:rPr>
        <w:t xml:space="preserve">. </w:t>
      </w:r>
      <w:r w:rsidR="00F3326C" w:rsidRPr="0086722F">
        <w:rPr>
          <w:sz w:val="24"/>
          <w:szCs w:val="24"/>
        </w:rPr>
        <w:t xml:space="preserve">The facility will be required to perform monthly maintenance inspections on </w:t>
      </w:r>
      <w:r w:rsidR="00051C7A" w:rsidRPr="0086722F">
        <w:rPr>
          <w:sz w:val="24"/>
          <w:szCs w:val="24"/>
        </w:rPr>
        <w:t>the facility’s cyclones and monthly opacity readings and visible emission evaluation (VEE) if emissions are observed.</w:t>
      </w:r>
    </w:p>
    <w:p w14:paraId="55C49CFA" w14:textId="77777777" w:rsidR="001B0B51" w:rsidRDefault="001B0B51" w:rsidP="00531513">
      <w:pPr>
        <w:rPr>
          <w:sz w:val="24"/>
          <w:szCs w:val="24"/>
          <w:u w:val="single"/>
        </w:rPr>
      </w:pPr>
    </w:p>
    <w:p w14:paraId="74B92D25" w14:textId="77777777" w:rsidR="00531513" w:rsidRDefault="00531513" w:rsidP="00531513">
      <w:pPr>
        <w:jc w:val="both"/>
        <w:rPr>
          <w:sz w:val="24"/>
          <w:szCs w:val="24"/>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89"/>
        <w:gridCol w:w="1350"/>
        <w:gridCol w:w="1530"/>
        <w:gridCol w:w="5491"/>
      </w:tblGrid>
      <w:tr w:rsidR="00FB3ACE" w14:paraId="2029FF61" w14:textId="77777777" w:rsidTr="006734A9">
        <w:trPr>
          <w:cantSplit/>
          <w:tblHeader/>
          <w:jc w:val="center"/>
        </w:trPr>
        <w:tc>
          <w:tcPr>
            <w:tcW w:w="9360" w:type="dxa"/>
            <w:gridSpan w:val="4"/>
            <w:shd w:val="pct20" w:color="auto" w:fill="FFFFFF"/>
          </w:tcPr>
          <w:p w14:paraId="7F05E4DD" w14:textId="77777777" w:rsidR="00FB3ACE" w:rsidRDefault="00FB3ACE" w:rsidP="00816275">
            <w:pPr>
              <w:jc w:val="center"/>
            </w:pPr>
            <w:r>
              <w:rPr>
                <w:b/>
                <w:bCs/>
              </w:rPr>
              <w:t>EMISSION LIMITS</w:t>
            </w:r>
          </w:p>
        </w:tc>
      </w:tr>
      <w:tr w:rsidR="00FB3ACE" w14:paraId="2B912102" w14:textId="77777777" w:rsidTr="006734A9">
        <w:trPr>
          <w:cantSplit/>
          <w:trHeight w:val="632"/>
          <w:tblHeader/>
          <w:jc w:val="center"/>
        </w:trPr>
        <w:tc>
          <w:tcPr>
            <w:tcW w:w="989" w:type="dxa"/>
            <w:shd w:val="pct20" w:color="auto" w:fill="FFFFFF"/>
            <w:vAlign w:val="bottom"/>
          </w:tcPr>
          <w:p w14:paraId="0636E0EB" w14:textId="77777777" w:rsidR="00FB3ACE" w:rsidRDefault="00FB3ACE" w:rsidP="00816275">
            <w:pPr>
              <w:jc w:val="center"/>
              <w:rPr>
                <w:sz w:val="18"/>
                <w:szCs w:val="18"/>
              </w:rPr>
            </w:pPr>
            <w:r>
              <w:rPr>
                <w:sz w:val="18"/>
                <w:szCs w:val="18"/>
              </w:rPr>
              <w:t>Emission Point No.</w:t>
            </w:r>
          </w:p>
        </w:tc>
        <w:tc>
          <w:tcPr>
            <w:tcW w:w="1350" w:type="dxa"/>
            <w:shd w:val="pct20" w:color="auto" w:fill="FFFFFF"/>
            <w:vAlign w:val="bottom"/>
          </w:tcPr>
          <w:p w14:paraId="025F3F16" w14:textId="77777777" w:rsidR="00FB3ACE" w:rsidRDefault="00FB3ACE" w:rsidP="00816275">
            <w:pPr>
              <w:jc w:val="center"/>
              <w:rPr>
                <w:sz w:val="18"/>
                <w:szCs w:val="18"/>
              </w:rPr>
            </w:pPr>
            <w:r>
              <w:rPr>
                <w:sz w:val="18"/>
                <w:szCs w:val="18"/>
              </w:rPr>
              <w:t>Pollutant</w:t>
            </w:r>
          </w:p>
        </w:tc>
        <w:tc>
          <w:tcPr>
            <w:tcW w:w="1530" w:type="dxa"/>
            <w:shd w:val="pct20" w:color="auto" w:fill="FFFFFF"/>
            <w:vAlign w:val="bottom"/>
          </w:tcPr>
          <w:p w14:paraId="1B03ECD0" w14:textId="77777777" w:rsidR="00FB3ACE" w:rsidRDefault="00FB3ACE" w:rsidP="00816275">
            <w:pPr>
              <w:jc w:val="center"/>
              <w:rPr>
                <w:sz w:val="18"/>
                <w:szCs w:val="18"/>
              </w:rPr>
            </w:pPr>
            <w:r>
              <w:rPr>
                <w:sz w:val="18"/>
                <w:szCs w:val="18"/>
              </w:rPr>
              <w:t>Draft Permit Emission Limits</w:t>
            </w:r>
          </w:p>
        </w:tc>
        <w:tc>
          <w:tcPr>
            <w:tcW w:w="5491" w:type="dxa"/>
            <w:shd w:val="pct20" w:color="auto" w:fill="FFFFFF"/>
            <w:vAlign w:val="bottom"/>
          </w:tcPr>
          <w:p w14:paraId="00A0956D" w14:textId="77777777" w:rsidR="00FB3ACE" w:rsidRDefault="00FB3ACE" w:rsidP="00816275">
            <w:pPr>
              <w:jc w:val="center"/>
              <w:rPr>
                <w:sz w:val="18"/>
                <w:szCs w:val="18"/>
              </w:rPr>
            </w:pPr>
            <w:r>
              <w:rPr>
                <w:sz w:val="18"/>
                <w:szCs w:val="18"/>
              </w:rPr>
              <w:t>Monitoring Requirements</w:t>
            </w:r>
          </w:p>
        </w:tc>
      </w:tr>
      <w:tr w:rsidR="00421947" w14:paraId="3049C7FA" w14:textId="77777777" w:rsidTr="006734A9">
        <w:trPr>
          <w:cantSplit/>
          <w:trHeight w:val="632"/>
          <w:jc w:val="center"/>
        </w:trPr>
        <w:tc>
          <w:tcPr>
            <w:tcW w:w="989" w:type="dxa"/>
            <w:vMerge w:val="restart"/>
          </w:tcPr>
          <w:p w14:paraId="6BE141EB" w14:textId="4EDFBE99" w:rsidR="00421947" w:rsidRDefault="00421947" w:rsidP="00122451">
            <w:pPr>
              <w:tabs>
                <w:tab w:val="left" w:pos="-1213"/>
                <w:tab w:val="left" w:pos="-720"/>
                <w:tab w:val="left" w:pos="0"/>
                <w:tab w:val="left" w:pos="720"/>
                <w:tab w:val="left" w:pos="1710"/>
              </w:tabs>
              <w:spacing w:before="60" w:after="60"/>
              <w:jc w:val="center"/>
              <w:rPr>
                <w:sz w:val="18"/>
              </w:rPr>
            </w:pPr>
            <w:r>
              <w:rPr>
                <w:sz w:val="18"/>
              </w:rPr>
              <w:t>AA-000</w:t>
            </w:r>
          </w:p>
        </w:tc>
        <w:tc>
          <w:tcPr>
            <w:tcW w:w="1350" w:type="dxa"/>
          </w:tcPr>
          <w:p w14:paraId="3BAACA16" w14:textId="76D25A11" w:rsidR="00421947" w:rsidRDefault="00421947" w:rsidP="00122451">
            <w:pPr>
              <w:spacing w:before="120" w:after="120"/>
              <w:jc w:val="center"/>
              <w:rPr>
                <w:sz w:val="18"/>
                <w:szCs w:val="18"/>
              </w:rPr>
            </w:pPr>
            <w:r>
              <w:rPr>
                <w:sz w:val="18"/>
                <w:szCs w:val="18"/>
              </w:rPr>
              <w:t>Opacity</w:t>
            </w:r>
          </w:p>
        </w:tc>
        <w:tc>
          <w:tcPr>
            <w:tcW w:w="1530" w:type="dxa"/>
          </w:tcPr>
          <w:p w14:paraId="22176F42" w14:textId="7ED631DD" w:rsidR="00421947" w:rsidRPr="00613D99" w:rsidRDefault="00421947" w:rsidP="00122451">
            <w:pPr>
              <w:tabs>
                <w:tab w:val="left" w:pos="-1213"/>
                <w:tab w:val="left" w:pos="-720"/>
                <w:tab w:val="left" w:pos="0"/>
                <w:tab w:val="left" w:pos="720"/>
                <w:tab w:val="left" w:pos="1710"/>
              </w:tabs>
              <w:spacing w:before="120" w:after="120"/>
              <w:rPr>
                <w:sz w:val="18"/>
                <w:szCs w:val="18"/>
              </w:rPr>
            </w:pPr>
            <w:r>
              <w:rPr>
                <w:sz w:val="18"/>
                <w:szCs w:val="18"/>
              </w:rPr>
              <w:t>40%</w:t>
            </w:r>
          </w:p>
        </w:tc>
        <w:tc>
          <w:tcPr>
            <w:tcW w:w="5491" w:type="dxa"/>
            <w:vMerge w:val="restart"/>
          </w:tcPr>
          <w:p w14:paraId="142509E3" w14:textId="52F9AE13" w:rsidR="00AB4D09" w:rsidRDefault="00AB4D09" w:rsidP="00122451">
            <w:pPr>
              <w:tabs>
                <w:tab w:val="left" w:pos="-1213"/>
                <w:tab w:val="left" w:pos="-720"/>
                <w:tab w:val="left" w:pos="0"/>
                <w:tab w:val="left" w:pos="720"/>
                <w:tab w:val="left" w:pos="1710"/>
              </w:tabs>
              <w:spacing w:before="120" w:after="120"/>
              <w:rPr>
                <w:sz w:val="18"/>
                <w:szCs w:val="18"/>
              </w:rPr>
            </w:pPr>
            <w:r>
              <w:rPr>
                <w:sz w:val="18"/>
                <w:szCs w:val="18"/>
              </w:rPr>
              <w:t xml:space="preserve">Monthly </w:t>
            </w:r>
            <w:r w:rsidR="009032A6">
              <w:rPr>
                <w:sz w:val="18"/>
                <w:szCs w:val="18"/>
              </w:rPr>
              <w:t>visual observations will be performed on each cyclone in the facility and VEE if needed.</w:t>
            </w:r>
          </w:p>
          <w:p w14:paraId="15376EA1" w14:textId="2A979467" w:rsidR="00421947" w:rsidRDefault="00421947" w:rsidP="00122451">
            <w:pPr>
              <w:tabs>
                <w:tab w:val="left" w:pos="-1213"/>
                <w:tab w:val="left" w:pos="-720"/>
                <w:tab w:val="left" w:pos="0"/>
                <w:tab w:val="left" w:pos="720"/>
                <w:tab w:val="left" w:pos="1710"/>
              </w:tabs>
              <w:spacing w:before="120" w:after="120"/>
              <w:rPr>
                <w:sz w:val="18"/>
                <w:szCs w:val="18"/>
              </w:rPr>
            </w:pPr>
            <w:r>
              <w:rPr>
                <w:sz w:val="18"/>
                <w:szCs w:val="18"/>
              </w:rPr>
              <w:t>Monthly maintenance inspections shall be performed on the cyclones in the facility.</w:t>
            </w:r>
          </w:p>
          <w:p w14:paraId="7813F277" w14:textId="15DF178F" w:rsidR="00AB4D09" w:rsidRDefault="00AB4D09" w:rsidP="00122451">
            <w:pPr>
              <w:tabs>
                <w:tab w:val="left" w:pos="-1213"/>
                <w:tab w:val="left" w:pos="-720"/>
                <w:tab w:val="left" w:pos="0"/>
                <w:tab w:val="left" w:pos="720"/>
                <w:tab w:val="left" w:pos="1710"/>
              </w:tabs>
              <w:spacing w:before="120" w:after="120"/>
              <w:rPr>
                <w:sz w:val="18"/>
                <w:szCs w:val="18"/>
              </w:rPr>
            </w:pPr>
          </w:p>
        </w:tc>
      </w:tr>
      <w:tr w:rsidR="00421947" w14:paraId="376C1927" w14:textId="77777777" w:rsidTr="006734A9">
        <w:trPr>
          <w:cantSplit/>
          <w:trHeight w:val="632"/>
          <w:jc w:val="center"/>
        </w:trPr>
        <w:tc>
          <w:tcPr>
            <w:tcW w:w="989" w:type="dxa"/>
            <w:vMerge/>
          </w:tcPr>
          <w:p w14:paraId="5D4E0586" w14:textId="77777777" w:rsidR="00421947" w:rsidRDefault="00421947" w:rsidP="00122451">
            <w:pPr>
              <w:tabs>
                <w:tab w:val="left" w:pos="-1213"/>
                <w:tab w:val="left" w:pos="-720"/>
                <w:tab w:val="left" w:pos="0"/>
                <w:tab w:val="left" w:pos="720"/>
                <w:tab w:val="left" w:pos="1710"/>
              </w:tabs>
              <w:spacing w:before="60" w:after="60"/>
              <w:jc w:val="center"/>
              <w:rPr>
                <w:sz w:val="18"/>
              </w:rPr>
            </w:pPr>
          </w:p>
        </w:tc>
        <w:tc>
          <w:tcPr>
            <w:tcW w:w="1350" w:type="dxa"/>
          </w:tcPr>
          <w:p w14:paraId="1536CBDE" w14:textId="7C57AE6C" w:rsidR="00421947" w:rsidRDefault="00421947" w:rsidP="00122451">
            <w:pPr>
              <w:spacing w:before="120" w:after="120"/>
              <w:jc w:val="center"/>
              <w:rPr>
                <w:sz w:val="18"/>
                <w:szCs w:val="18"/>
              </w:rPr>
            </w:pPr>
            <w:r>
              <w:rPr>
                <w:sz w:val="18"/>
                <w:szCs w:val="18"/>
              </w:rPr>
              <w:t>PM</w:t>
            </w:r>
          </w:p>
        </w:tc>
        <w:tc>
          <w:tcPr>
            <w:tcW w:w="1530" w:type="dxa"/>
          </w:tcPr>
          <w:p w14:paraId="7237B5B3" w14:textId="4ACB5866" w:rsidR="00421947" w:rsidRDefault="00421947" w:rsidP="00122451">
            <w:pPr>
              <w:tabs>
                <w:tab w:val="left" w:pos="-1213"/>
                <w:tab w:val="left" w:pos="-720"/>
                <w:tab w:val="left" w:pos="0"/>
                <w:tab w:val="left" w:pos="720"/>
                <w:tab w:val="left" w:pos="1710"/>
              </w:tabs>
              <w:spacing w:before="120" w:after="120"/>
              <w:rPr>
                <w:sz w:val="18"/>
                <w:szCs w:val="18"/>
              </w:rPr>
            </w:pPr>
            <w:r w:rsidRPr="00AB6C1D">
              <w:rPr>
                <w:sz w:val="18"/>
                <w:szCs w:val="18"/>
              </w:rPr>
              <w:t>E=4.1*(p)</w:t>
            </w:r>
            <w:r>
              <w:rPr>
                <w:sz w:val="18"/>
                <w:szCs w:val="18"/>
                <w:vertAlign w:val="superscript"/>
              </w:rPr>
              <w:t>0.67</w:t>
            </w:r>
          </w:p>
        </w:tc>
        <w:tc>
          <w:tcPr>
            <w:tcW w:w="5491" w:type="dxa"/>
            <w:vMerge/>
          </w:tcPr>
          <w:p w14:paraId="5E427AC1" w14:textId="77777777" w:rsidR="00421947" w:rsidRDefault="00421947" w:rsidP="00122451">
            <w:pPr>
              <w:tabs>
                <w:tab w:val="left" w:pos="-1213"/>
                <w:tab w:val="left" w:pos="-720"/>
                <w:tab w:val="left" w:pos="0"/>
                <w:tab w:val="left" w:pos="720"/>
                <w:tab w:val="left" w:pos="1710"/>
              </w:tabs>
              <w:spacing w:before="120" w:after="120"/>
              <w:rPr>
                <w:sz w:val="18"/>
                <w:szCs w:val="18"/>
              </w:rPr>
            </w:pPr>
          </w:p>
        </w:tc>
      </w:tr>
      <w:tr w:rsidR="00122451" w14:paraId="3FAC152B" w14:textId="77777777" w:rsidTr="006734A9">
        <w:trPr>
          <w:cantSplit/>
          <w:trHeight w:val="632"/>
          <w:jc w:val="center"/>
        </w:trPr>
        <w:tc>
          <w:tcPr>
            <w:tcW w:w="989" w:type="dxa"/>
          </w:tcPr>
          <w:p w14:paraId="25EACF9D" w14:textId="71C84F82" w:rsidR="00122451" w:rsidRPr="003C283B" w:rsidRDefault="00122451" w:rsidP="00122451">
            <w:pPr>
              <w:tabs>
                <w:tab w:val="left" w:pos="-1213"/>
                <w:tab w:val="left" w:pos="-720"/>
                <w:tab w:val="left" w:pos="0"/>
                <w:tab w:val="left" w:pos="720"/>
                <w:tab w:val="left" w:pos="1710"/>
              </w:tabs>
              <w:spacing w:before="60" w:after="60"/>
              <w:jc w:val="center"/>
              <w:rPr>
                <w:sz w:val="18"/>
              </w:rPr>
            </w:pPr>
            <w:r>
              <w:rPr>
                <w:sz w:val="18"/>
              </w:rPr>
              <w:t>AA-017</w:t>
            </w:r>
          </w:p>
        </w:tc>
        <w:tc>
          <w:tcPr>
            <w:tcW w:w="1350" w:type="dxa"/>
          </w:tcPr>
          <w:p w14:paraId="3C2B789A" w14:textId="2FBF415C" w:rsidR="00122451" w:rsidRDefault="00122451" w:rsidP="00122451">
            <w:pPr>
              <w:spacing w:before="120" w:after="120"/>
              <w:jc w:val="center"/>
              <w:rPr>
                <w:sz w:val="18"/>
                <w:szCs w:val="18"/>
              </w:rPr>
            </w:pPr>
            <w:r>
              <w:rPr>
                <w:sz w:val="18"/>
                <w:szCs w:val="18"/>
              </w:rPr>
              <w:t>PM</w:t>
            </w:r>
          </w:p>
        </w:tc>
        <w:tc>
          <w:tcPr>
            <w:tcW w:w="1530" w:type="dxa"/>
          </w:tcPr>
          <w:p w14:paraId="6ABE791F" w14:textId="40BA1405" w:rsidR="00122451" w:rsidRPr="007D252A" w:rsidRDefault="00122451" w:rsidP="00122451">
            <w:pPr>
              <w:tabs>
                <w:tab w:val="left" w:pos="-1213"/>
                <w:tab w:val="left" w:pos="-720"/>
                <w:tab w:val="left" w:pos="0"/>
                <w:tab w:val="left" w:pos="720"/>
                <w:tab w:val="left" w:pos="1710"/>
              </w:tabs>
              <w:spacing w:before="120" w:after="120"/>
              <w:rPr>
                <w:sz w:val="18"/>
                <w:szCs w:val="18"/>
              </w:rPr>
            </w:pPr>
            <w:r w:rsidRPr="00613D99">
              <w:rPr>
                <w:sz w:val="18"/>
                <w:szCs w:val="18"/>
              </w:rPr>
              <w:t>0.6 lbs./MMBTU</w:t>
            </w:r>
          </w:p>
        </w:tc>
        <w:tc>
          <w:tcPr>
            <w:tcW w:w="5491" w:type="dxa"/>
          </w:tcPr>
          <w:p w14:paraId="2839778D" w14:textId="1FB283BD" w:rsidR="00122451" w:rsidRDefault="00122451" w:rsidP="00122451">
            <w:pPr>
              <w:tabs>
                <w:tab w:val="left" w:pos="-1213"/>
                <w:tab w:val="left" w:pos="-720"/>
                <w:tab w:val="left" w:pos="0"/>
                <w:tab w:val="left" w:pos="720"/>
                <w:tab w:val="left" w:pos="1710"/>
              </w:tabs>
              <w:spacing w:before="120" w:after="120"/>
              <w:rPr>
                <w:sz w:val="18"/>
                <w:szCs w:val="18"/>
              </w:rPr>
            </w:pPr>
            <w:r>
              <w:rPr>
                <w:sz w:val="18"/>
                <w:szCs w:val="18"/>
              </w:rPr>
              <w:t>No monitoring due to large margin of compliance. The unit will be used during emergencies</w:t>
            </w:r>
            <w:r w:rsidR="005F0243">
              <w:rPr>
                <w:sz w:val="18"/>
                <w:szCs w:val="18"/>
              </w:rPr>
              <w:t xml:space="preserve">, 50 </w:t>
            </w:r>
            <w:proofErr w:type="spellStart"/>
            <w:r w:rsidR="005F0243">
              <w:rPr>
                <w:sz w:val="18"/>
                <w:szCs w:val="18"/>
              </w:rPr>
              <w:t>hr</w:t>
            </w:r>
            <w:proofErr w:type="spellEnd"/>
            <w:r w:rsidR="005F0243">
              <w:rPr>
                <w:sz w:val="18"/>
                <w:szCs w:val="18"/>
              </w:rPr>
              <w:t xml:space="preserve"> of non-emergencies and</w:t>
            </w:r>
            <w:r>
              <w:rPr>
                <w:sz w:val="18"/>
                <w:szCs w:val="18"/>
              </w:rPr>
              <w:t xml:space="preserve"> required maintenance</w:t>
            </w:r>
            <w:r w:rsidR="005F0243">
              <w:rPr>
                <w:sz w:val="18"/>
                <w:szCs w:val="18"/>
              </w:rPr>
              <w:t>.</w:t>
            </w:r>
          </w:p>
        </w:tc>
      </w:tr>
      <w:tr w:rsidR="00122451" w14:paraId="688C09FA" w14:textId="77777777" w:rsidTr="006734A9">
        <w:trPr>
          <w:cantSplit/>
          <w:trHeight w:val="632"/>
          <w:jc w:val="center"/>
        </w:trPr>
        <w:tc>
          <w:tcPr>
            <w:tcW w:w="989" w:type="dxa"/>
            <w:vMerge w:val="restart"/>
          </w:tcPr>
          <w:p w14:paraId="5C299532" w14:textId="2D74844B" w:rsidR="00122451" w:rsidRPr="003C283B" w:rsidRDefault="00122451" w:rsidP="00122451">
            <w:pPr>
              <w:tabs>
                <w:tab w:val="left" w:pos="-1213"/>
                <w:tab w:val="left" w:pos="-720"/>
                <w:tab w:val="left" w:pos="0"/>
                <w:tab w:val="left" w:pos="720"/>
                <w:tab w:val="left" w:pos="1710"/>
              </w:tabs>
              <w:spacing w:before="60" w:after="60"/>
              <w:jc w:val="center"/>
              <w:rPr>
                <w:sz w:val="18"/>
              </w:rPr>
            </w:pPr>
            <w:r w:rsidRPr="003C283B">
              <w:rPr>
                <w:sz w:val="18"/>
              </w:rPr>
              <w:t>AA-018</w:t>
            </w:r>
          </w:p>
          <w:p w14:paraId="49C02783" w14:textId="424D8A9D" w:rsidR="00122451" w:rsidRPr="003C283B" w:rsidRDefault="00122451" w:rsidP="00122451">
            <w:pPr>
              <w:spacing w:before="120" w:after="120"/>
              <w:jc w:val="center"/>
              <w:rPr>
                <w:sz w:val="18"/>
              </w:rPr>
            </w:pPr>
            <w:r w:rsidRPr="003C283B">
              <w:rPr>
                <w:sz w:val="18"/>
              </w:rPr>
              <w:t>AA-019</w:t>
            </w:r>
          </w:p>
        </w:tc>
        <w:tc>
          <w:tcPr>
            <w:tcW w:w="1350" w:type="dxa"/>
          </w:tcPr>
          <w:p w14:paraId="6BB89FE8" w14:textId="329C64A0" w:rsidR="00122451" w:rsidRDefault="00122451" w:rsidP="00122451">
            <w:pPr>
              <w:spacing w:before="120" w:after="120"/>
              <w:jc w:val="center"/>
              <w:rPr>
                <w:sz w:val="18"/>
                <w:szCs w:val="18"/>
              </w:rPr>
            </w:pPr>
            <w:r>
              <w:rPr>
                <w:sz w:val="18"/>
                <w:szCs w:val="18"/>
              </w:rPr>
              <w:t>SO</w:t>
            </w:r>
            <w:r>
              <w:rPr>
                <w:sz w:val="18"/>
                <w:szCs w:val="18"/>
                <w:vertAlign w:val="subscript"/>
              </w:rPr>
              <w:t>2</w:t>
            </w:r>
          </w:p>
        </w:tc>
        <w:tc>
          <w:tcPr>
            <w:tcW w:w="1530" w:type="dxa"/>
          </w:tcPr>
          <w:p w14:paraId="24DB86E3" w14:textId="429D73E9" w:rsidR="00122451" w:rsidRPr="007D252A" w:rsidRDefault="00122451" w:rsidP="008F37B4">
            <w:pPr>
              <w:tabs>
                <w:tab w:val="left" w:pos="-1213"/>
                <w:tab w:val="left" w:pos="-720"/>
                <w:tab w:val="left" w:pos="0"/>
                <w:tab w:val="left" w:pos="720"/>
                <w:tab w:val="left" w:pos="1710"/>
              </w:tabs>
              <w:spacing w:before="120" w:after="120"/>
              <w:jc w:val="center"/>
              <w:rPr>
                <w:sz w:val="18"/>
                <w:szCs w:val="18"/>
              </w:rPr>
            </w:pPr>
            <w:r w:rsidRPr="00D06998">
              <w:rPr>
                <w:sz w:val="18"/>
                <w:szCs w:val="18"/>
              </w:rPr>
              <w:t>500 ppm (volume)</w:t>
            </w:r>
          </w:p>
        </w:tc>
        <w:tc>
          <w:tcPr>
            <w:tcW w:w="5491" w:type="dxa"/>
          </w:tcPr>
          <w:p w14:paraId="14D272D5" w14:textId="3F7327C5" w:rsidR="00122451" w:rsidRDefault="00122451" w:rsidP="00122451">
            <w:pPr>
              <w:tabs>
                <w:tab w:val="left" w:pos="-1213"/>
                <w:tab w:val="left" w:pos="-720"/>
                <w:tab w:val="left" w:pos="0"/>
                <w:tab w:val="left" w:pos="720"/>
                <w:tab w:val="left" w:pos="1710"/>
              </w:tabs>
              <w:spacing w:before="120" w:after="120"/>
              <w:rPr>
                <w:sz w:val="18"/>
                <w:szCs w:val="18"/>
              </w:rPr>
            </w:pPr>
            <w:r>
              <w:rPr>
                <w:sz w:val="18"/>
                <w:szCs w:val="18"/>
              </w:rPr>
              <w:t>No monitoring due to large margin of compliance. Due to the low sulfur content of wood waste, emissions are expected to be minimal.</w:t>
            </w:r>
          </w:p>
        </w:tc>
      </w:tr>
      <w:tr w:rsidR="00122451" w14:paraId="7E0AE204" w14:textId="77777777" w:rsidTr="006734A9">
        <w:trPr>
          <w:cantSplit/>
          <w:trHeight w:val="632"/>
          <w:jc w:val="center"/>
        </w:trPr>
        <w:tc>
          <w:tcPr>
            <w:tcW w:w="989" w:type="dxa"/>
            <w:vMerge/>
          </w:tcPr>
          <w:p w14:paraId="0B20C6F2" w14:textId="0A939E39" w:rsidR="00122451" w:rsidRDefault="00122451" w:rsidP="00122451">
            <w:pPr>
              <w:spacing w:before="120" w:after="120"/>
              <w:jc w:val="center"/>
              <w:rPr>
                <w:sz w:val="18"/>
                <w:szCs w:val="18"/>
              </w:rPr>
            </w:pPr>
          </w:p>
        </w:tc>
        <w:tc>
          <w:tcPr>
            <w:tcW w:w="1350" w:type="dxa"/>
          </w:tcPr>
          <w:p w14:paraId="037CF56E" w14:textId="77777777" w:rsidR="00122451" w:rsidRDefault="00122451" w:rsidP="00122451">
            <w:pPr>
              <w:spacing w:before="120" w:after="120"/>
              <w:jc w:val="center"/>
              <w:rPr>
                <w:sz w:val="18"/>
                <w:szCs w:val="18"/>
              </w:rPr>
            </w:pPr>
            <w:r>
              <w:rPr>
                <w:sz w:val="18"/>
                <w:szCs w:val="18"/>
              </w:rPr>
              <w:t>VOC</w:t>
            </w:r>
          </w:p>
        </w:tc>
        <w:tc>
          <w:tcPr>
            <w:tcW w:w="1530" w:type="dxa"/>
          </w:tcPr>
          <w:p w14:paraId="6BE02352" w14:textId="77777777" w:rsidR="00122451" w:rsidRDefault="00122451" w:rsidP="00122451">
            <w:pPr>
              <w:tabs>
                <w:tab w:val="left" w:pos="-1213"/>
                <w:tab w:val="left" w:pos="-720"/>
                <w:tab w:val="left" w:pos="0"/>
                <w:tab w:val="left" w:pos="720"/>
                <w:tab w:val="left" w:pos="1710"/>
              </w:tabs>
              <w:spacing w:before="120" w:after="120"/>
              <w:rPr>
                <w:sz w:val="18"/>
                <w:szCs w:val="18"/>
              </w:rPr>
            </w:pPr>
            <w:r w:rsidRPr="007D252A">
              <w:rPr>
                <w:sz w:val="18"/>
                <w:szCs w:val="18"/>
              </w:rPr>
              <w:t>621.5 tons/</w:t>
            </w:r>
            <w:proofErr w:type="spellStart"/>
            <w:r w:rsidRPr="007D252A">
              <w:rPr>
                <w:sz w:val="18"/>
                <w:szCs w:val="18"/>
              </w:rPr>
              <w:t>yr</w:t>
            </w:r>
            <w:proofErr w:type="spellEnd"/>
          </w:p>
        </w:tc>
        <w:tc>
          <w:tcPr>
            <w:tcW w:w="5491" w:type="dxa"/>
          </w:tcPr>
          <w:p w14:paraId="79C3EB42" w14:textId="610E136D" w:rsidR="00E16294" w:rsidRDefault="00E16294" w:rsidP="00122451">
            <w:pPr>
              <w:tabs>
                <w:tab w:val="left" w:pos="-1213"/>
                <w:tab w:val="left" w:pos="-720"/>
                <w:tab w:val="left" w:pos="0"/>
                <w:tab w:val="left" w:pos="720"/>
                <w:tab w:val="left" w:pos="1710"/>
              </w:tabs>
              <w:spacing w:before="120" w:after="120"/>
              <w:rPr>
                <w:sz w:val="18"/>
                <w:szCs w:val="18"/>
              </w:rPr>
            </w:pPr>
            <w:r>
              <w:rPr>
                <w:sz w:val="18"/>
                <w:szCs w:val="18"/>
              </w:rPr>
              <w:t>Develop and implement a kiln-specific inspection and maintenance plan to ensure Good Work Practices</w:t>
            </w:r>
          </w:p>
          <w:p w14:paraId="10B800FF" w14:textId="69F1BBF1" w:rsidR="00122451" w:rsidRDefault="00122451" w:rsidP="00122451">
            <w:pPr>
              <w:tabs>
                <w:tab w:val="left" w:pos="-1213"/>
                <w:tab w:val="left" w:pos="-720"/>
                <w:tab w:val="left" w:pos="0"/>
                <w:tab w:val="left" w:pos="720"/>
                <w:tab w:val="left" w:pos="1710"/>
              </w:tabs>
              <w:spacing w:before="120" w:after="120"/>
              <w:rPr>
                <w:sz w:val="18"/>
                <w:szCs w:val="18"/>
              </w:rPr>
            </w:pPr>
            <w:r>
              <w:rPr>
                <w:sz w:val="18"/>
                <w:szCs w:val="18"/>
              </w:rPr>
              <w:t xml:space="preserve">Monitor throughput (maximum </w:t>
            </w:r>
            <w:r w:rsidRPr="00C05C9E">
              <w:rPr>
                <w:sz w:val="18"/>
                <w:szCs w:val="18"/>
              </w:rPr>
              <w:t>275,000 thousand board-feet per year</w:t>
            </w:r>
            <w:r>
              <w:rPr>
                <w:sz w:val="18"/>
                <w:szCs w:val="18"/>
              </w:rPr>
              <w:t>)</w:t>
            </w:r>
          </w:p>
        </w:tc>
      </w:tr>
    </w:tbl>
    <w:p w14:paraId="41056003" w14:textId="77777777" w:rsidR="00531513" w:rsidRDefault="00531513" w:rsidP="0040382F">
      <w:pPr>
        <w:rPr>
          <w:sz w:val="24"/>
          <w:szCs w:val="24"/>
        </w:rPr>
      </w:pPr>
      <w:bookmarkStart w:id="2" w:name="_GoBack"/>
      <w:bookmarkEnd w:id="2"/>
    </w:p>
    <w:sectPr w:rsidR="00531513" w:rsidSect="005E1C12">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82CDB" w14:textId="77777777" w:rsidR="00D630A0" w:rsidRDefault="00D630A0">
      <w:r>
        <w:separator/>
      </w:r>
    </w:p>
  </w:endnote>
  <w:endnote w:type="continuationSeparator" w:id="0">
    <w:p w14:paraId="0DCBE0B0" w14:textId="77777777" w:rsidR="00D630A0" w:rsidRDefault="00D6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8453" w14:textId="77777777" w:rsidR="005E1C12" w:rsidRDefault="005E1C12">
    <w:pPr>
      <w:pStyle w:val="Footer"/>
      <w:tabs>
        <w:tab w:val="clear" w:pos="8640"/>
        <w:tab w:val="right" w:pos="9270"/>
      </w:tabs>
    </w:pPr>
    <w:bookmarkStart w:id="3" w:name="aiid"/>
    <w:r>
      <w:t>707</w:t>
    </w:r>
    <w:bookmarkEnd w:id="3"/>
    <w:r>
      <w:t xml:space="preserve"> PER20140002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1A12E" w14:textId="77777777" w:rsidR="00D630A0" w:rsidRDefault="00D630A0">
      <w:r>
        <w:separator/>
      </w:r>
    </w:p>
  </w:footnote>
  <w:footnote w:type="continuationSeparator" w:id="0">
    <w:p w14:paraId="3C31353D" w14:textId="77777777" w:rsidR="00D630A0" w:rsidRDefault="00D63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5D"/>
    <w:rsid w:val="00000629"/>
    <w:rsid w:val="00027E0E"/>
    <w:rsid w:val="000359E6"/>
    <w:rsid w:val="0005117D"/>
    <w:rsid w:val="00051C7A"/>
    <w:rsid w:val="0007294E"/>
    <w:rsid w:val="00083009"/>
    <w:rsid w:val="000924B1"/>
    <w:rsid w:val="000D72C1"/>
    <w:rsid w:val="001164E5"/>
    <w:rsid w:val="00122451"/>
    <w:rsid w:val="00131A17"/>
    <w:rsid w:val="00141F9A"/>
    <w:rsid w:val="00161C17"/>
    <w:rsid w:val="00170098"/>
    <w:rsid w:val="0017666E"/>
    <w:rsid w:val="0018210B"/>
    <w:rsid w:val="00187452"/>
    <w:rsid w:val="001A7D68"/>
    <w:rsid w:val="001B0B51"/>
    <w:rsid w:val="001B1DC6"/>
    <w:rsid w:val="00205C99"/>
    <w:rsid w:val="00212B50"/>
    <w:rsid w:val="00212C6B"/>
    <w:rsid w:val="00217E7A"/>
    <w:rsid w:val="0023774A"/>
    <w:rsid w:val="0025327D"/>
    <w:rsid w:val="0026594B"/>
    <w:rsid w:val="00271BFE"/>
    <w:rsid w:val="00284699"/>
    <w:rsid w:val="002A3D2B"/>
    <w:rsid w:val="002D4D2D"/>
    <w:rsid w:val="002F463C"/>
    <w:rsid w:val="003075CF"/>
    <w:rsid w:val="00341771"/>
    <w:rsid w:val="003C2807"/>
    <w:rsid w:val="003C283B"/>
    <w:rsid w:val="003D0A10"/>
    <w:rsid w:val="003D41F4"/>
    <w:rsid w:val="003E1CD8"/>
    <w:rsid w:val="003E5076"/>
    <w:rsid w:val="003F323F"/>
    <w:rsid w:val="0040382F"/>
    <w:rsid w:val="00421947"/>
    <w:rsid w:val="00423EDA"/>
    <w:rsid w:val="00430F3D"/>
    <w:rsid w:val="004536A5"/>
    <w:rsid w:val="00457DE6"/>
    <w:rsid w:val="00471345"/>
    <w:rsid w:val="0047219E"/>
    <w:rsid w:val="00473D3A"/>
    <w:rsid w:val="00482A40"/>
    <w:rsid w:val="00486BB2"/>
    <w:rsid w:val="0049100B"/>
    <w:rsid w:val="0049771A"/>
    <w:rsid w:val="004E16C8"/>
    <w:rsid w:val="004F4C46"/>
    <w:rsid w:val="00501FEE"/>
    <w:rsid w:val="00531513"/>
    <w:rsid w:val="00560645"/>
    <w:rsid w:val="00561838"/>
    <w:rsid w:val="00573932"/>
    <w:rsid w:val="00595509"/>
    <w:rsid w:val="005B027F"/>
    <w:rsid w:val="005D0C80"/>
    <w:rsid w:val="005D585D"/>
    <w:rsid w:val="005E1C12"/>
    <w:rsid w:val="005F0243"/>
    <w:rsid w:val="00610F3B"/>
    <w:rsid w:val="00612B15"/>
    <w:rsid w:val="00613D99"/>
    <w:rsid w:val="0061517F"/>
    <w:rsid w:val="006347F5"/>
    <w:rsid w:val="006432E5"/>
    <w:rsid w:val="00665743"/>
    <w:rsid w:val="00670FA2"/>
    <w:rsid w:val="006734A9"/>
    <w:rsid w:val="0069213D"/>
    <w:rsid w:val="006955BA"/>
    <w:rsid w:val="006A2FCD"/>
    <w:rsid w:val="006F73AB"/>
    <w:rsid w:val="006F7ED4"/>
    <w:rsid w:val="00704A13"/>
    <w:rsid w:val="00781FA0"/>
    <w:rsid w:val="007C1397"/>
    <w:rsid w:val="007D252A"/>
    <w:rsid w:val="007D59A6"/>
    <w:rsid w:val="007E6D99"/>
    <w:rsid w:val="00816275"/>
    <w:rsid w:val="00816680"/>
    <w:rsid w:val="00852478"/>
    <w:rsid w:val="00853F01"/>
    <w:rsid w:val="00856334"/>
    <w:rsid w:val="008602DD"/>
    <w:rsid w:val="0086140E"/>
    <w:rsid w:val="0086722F"/>
    <w:rsid w:val="00882A03"/>
    <w:rsid w:val="0089117D"/>
    <w:rsid w:val="008924AE"/>
    <w:rsid w:val="008962E4"/>
    <w:rsid w:val="00896F8D"/>
    <w:rsid w:val="008A1F39"/>
    <w:rsid w:val="008C1A4F"/>
    <w:rsid w:val="008F37B4"/>
    <w:rsid w:val="00900E96"/>
    <w:rsid w:val="00902B7F"/>
    <w:rsid w:val="009032A6"/>
    <w:rsid w:val="00934A58"/>
    <w:rsid w:val="00941800"/>
    <w:rsid w:val="00954FA7"/>
    <w:rsid w:val="00961F95"/>
    <w:rsid w:val="00993DFF"/>
    <w:rsid w:val="009A1E5D"/>
    <w:rsid w:val="009B0E2D"/>
    <w:rsid w:val="009D1ADA"/>
    <w:rsid w:val="009E10F6"/>
    <w:rsid w:val="009F42F1"/>
    <w:rsid w:val="00A35286"/>
    <w:rsid w:val="00AB4D09"/>
    <w:rsid w:val="00AB5F45"/>
    <w:rsid w:val="00AF7101"/>
    <w:rsid w:val="00B623ED"/>
    <w:rsid w:val="00BB6225"/>
    <w:rsid w:val="00C05C9E"/>
    <w:rsid w:val="00C159FA"/>
    <w:rsid w:val="00C30DA7"/>
    <w:rsid w:val="00C50599"/>
    <w:rsid w:val="00C53F3A"/>
    <w:rsid w:val="00C905CA"/>
    <w:rsid w:val="00CD0209"/>
    <w:rsid w:val="00D0538F"/>
    <w:rsid w:val="00D37C86"/>
    <w:rsid w:val="00D630A0"/>
    <w:rsid w:val="00DD5DF1"/>
    <w:rsid w:val="00DF31AD"/>
    <w:rsid w:val="00DF5732"/>
    <w:rsid w:val="00E0360E"/>
    <w:rsid w:val="00E1385B"/>
    <w:rsid w:val="00E16294"/>
    <w:rsid w:val="00E302DE"/>
    <w:rsid w:val="00E30742"/>
    <w:rsid w:val="00E32C65"/>
    <w:rsid w:val="00E32DF9"/>
    <w:rsid w:val="00E7037E"/>
    <w:rsid w:val="00E76429"/>
    <w:rsid w:val="00E951B0"/>
    <w:rsid w:val="00EA5C47"/>
    <w:rsid w:val="00EA5DE9"/>
    <w:rsid w:val="00F3326C"/>
    <w:rsid w:val="00F367DC"/>
    <w:rsid w:val="00F83CBF"/>
    <w:rsid w:val="00FA457D"/>
    <w:rsid w:val="00FB39DA"/>
    <w:rsid w:val="00FB3ACE"/>
    <w:rsid w:val="00FC0485"/>
    <w:rsid w:val="00FC5B41"/>
    <w:rsid w:val="00FE226D"/>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475312"/>
  <w14:defaultImageDpi w14:val="0"/>
  <w15:docId w15:val="{13D40181-24A2-4957-84A6-5C254F5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2">
    <w:name w:val="heading 2"/>
    <w:basedOn w:val="Normal"/>
    <w:next w:val="Normal"/>
    <w:link w:val="Heading2Char"/>
    <w:uiPriority w:val="99"/>
    <w:qFormat/>
    <w:pPr>
      <w:keepNext/>
      <w:widowControl w:val="0"/>
      <w:tabs>
        <w:tab w:val="left" w:pos="90"/>
      </w:tabs>
      <w:outlineLvl w:val="1"/>
    </w:pPr>
    <w:rPr>
      <w:color w:val="000000"/>
      <w:sz w:val="24"/>
      <w:szCs w:val="24"/>
    </w:rPr>
  </w:style>
  <w:style w:type="paragraph" w:styleId="Heading3">
    <w:name w:val="heading 3"/>
    <w:basedOn w:val="Normal"/>
    <w:next w:val="Normal"/>
    <w:link w:val="Heading3Char"/>
    <w:uiPriority w:val="99"/>
    <w:qFormat/>
    <w:pPr>
      <w:keepNext/>
      <w:widowControl w:val="0"/>
      <w:tabs>
        <w:tab w:val="left" w:pos="4860"/>
      </w:tabs>
      <w:spacing w:after="240"/>
      <w:ind w:left="4867"/>
      <w:outlineLvl w:val="2"/>
    </w:pPr>
    <w:rPr>
      <w:color w:val="000000"/>
      <w:sz w:val="24"/>
      <w:szCs w:val="24"/>
    </w:rPr>
  </w:style>
  <w:style w:type="paragraph" w:styleId="Heading4">
    <w:name w:val="heading 4"/>
    <w:basedOn w:val="Normal"/>
    <w:next w:val="Normal"/>
    <w:link w:val="Heading4Char"/>
    <w:uiPriority w:val="99"/>
    <w:qFormat/>
    <w:pPr>
      <w:keepNext/>
      <w:tabs>
        <w:tab w:val="left" w:pos="4320"/>
      </w:tabs>
      <w:ind w:left="4320" w:hanging="461"/>
      <w:outlineLvl w:val="3"/>
    </w:pPr>
    <w:rPr>
      <w:sz w:val="24"/>
      <w:szCs w:val="24"/>
    </w:rPr>
  </w:style>
  <w:style w:type="paragraph" w:styleId="Heading5">
    <w:name w:val="heading 5"/>
    <w:basedOn w:val="Normal"/>
    <w:next w:val="Normal"/>
    <w:link w:val="Heading5Char"/>
    <w:uiPriority w:val="99"/>
    <w:qFormat/>
    <w:pPr>
      <w:keepNext/>
      <w:jc w:val="center"/>
      <w:outlineLvl w:val="4"/>
    </w:pPr>
    <w:rPr>
      <w:rFonts w:ascii="Arial" w:hAnsi="Arial" w:cs="Arial"/>
      <w:b/>
      <w:bCs/>
      <w:color w:val="FFFFFF"/>
    </w:rPr>
  </w:style>
  <w:style w:type="paragraph" w:styleId="Heading6">
    <w:name w:val="heading 6"/>
    <w:basedOn w:val="Normal"/>
    <w:next w:val="Normal"/>
    <w:link w:val="Heading6Char"/>
    <w:uiPriority w:val="99"/>
    <w:qFormat/>
    <w:pPr>
      <w:keepNext/>
      <w:tabs>
        <w:tab w:val="left" w:pos="4320"/>
        <w:tab w:val="left" w:pos="4860"/>
        <w:tab w:val="left" w:pos="5220"/>
      </w:tabs>
      <w:ind w:left="3600"/>
      <w:outlineLvl w:val="5"/>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paragraph" w:styleId="Heading8">
    <w:name w:val="heading 8"/>
    <w:basedOn w:val="Normal"/>
    <w:next w:val="Normal"/>
    <w:link w:val="Heading8Char"/>
    <w:uiPriority w:val="99"/>
    <w:qFormat/>
    <w:pPr>
      <w:keepNext/>
      <w:tabs>
        <w:tab w:val="left" w:pos="90"/>
      </w:tabs>
      <w:jc w:val="center"/>
      <w:outlineLvl w:val="7"/>
    </w:pPr>
    <w:rPr>
      <w:b/>
      <w:bCs/>
      <w:sz w:val="24"/>
      <w:szCs w:val="24"/>
      <w:u w:val="single"/>
    </w:rPr>
  </w:style>
  <w:style w:type="paragraph" w:styleId="Heading9">
    <w:name w:val="heading 9"/>
    <w:basedOn w:val="Normal"/>
    <w:next w:val="Normal"/>
    <w:link w:val="Heading9Char"/>
    <w:uiPriority w:val="99"/>
    <w:qFormat/>
    <w:pPr>
      <w:keepNext/>
      <w:tabs>
        <w:tab w:val="left" w:pos="90"/>
      </w:tabs>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tabs>
        <w:tab w:val="left" w:pos="900"/>
      </w:tabs>
      <w:spacing w:before="120" w:after="120"/>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ReferenceLine">
    <w:name w:val="Reference Line"/>
    <w:basedOn w:val="BodyText"/>
    <w:uiPriority w:val="99"/>
  </w:style>
  <w:style w:type="paragraph" w:customStyle="1" w:styleId="CcList">
    <w:name w:val="Cc List"/>
    <w:basedOn w:val="Normal"/>
    <w:uiPriority w:val="99"/>
    <w:pPr>
      <w:widowControl w:val="0"/>
    </w:pPr>
    <w:rPr>
      <w:sz w:val="24"/>
      <w:szCs w:val="24"/>
    </w:rPr>
  </w:style>
  <w:style w:type="paragraph" w:styleId="BodyText3">
    <w:name w:val="Body Text 3"/>
    <w:basedOn w:val="Normal"/>
    <w:link w:val="BodyText3Char"/>
    <w:uiPriority w:val="99"/>
    <w:pPr>
      <w:widowControl w:val="0"/>
      <w:tabs>
        <w:tab w:val="left" w:pos="90"/>
      </w:tabs>
      <w:spacing w:after="240"/>
    </w:pPr>
    <w:rPr>
      <w:color w:val="000000"/>
      <w:sz w:val="24"/>
      <w:szCs w:val="24"/>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Caption">
    <w:name w:val="caption"/>
    <w:basedOn w:val="Normal"/>
    <w:next w:val="Normal"/>
    <w:uiPriority w:val="99"/>
    <w:qFormat/>
    <w:pPr>
      <w:tabs>
        <w:tab w:val="center" w:pos="4650"/>
      </w:tabs>
    </w:pPr>
    <w:rPr>
      <w:color w:val="000000"/>
      <w:sz w:val="24"/>
      <w:szCs w:val="24"/>
    </w:rPr>
  </w:style>
  <w:style w:type="paragraph" w:styleId="BodyTextIndent2">
    <w:name w:val="Body Text Indent 2"/>
    <w:basedOn w:val="Normal"/>
    <w:link w:val="BodyTextIndent2Char"/>
    <w:uiPriority w:val="99"/>
    <w:pPr>
      <w:tabs>
        <w:tab w:val="left" w:pos="5220"/>
      </w:tabs>
      <w:ind w:left="4320"/>
    </w:pPr>
    <w:rPr>
      <w:color w:val="000000"/>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5220"/>
      </w:tabs>
      <w:ind w:left="4320"/>
    </w:pPr>
    <w:rPr>
      <w:sz w:val="24"/>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1">
    <w:name w:val="1"/>
    <w:aliases w:val="2,3"/>
    <w:uiPriority w:val="99"/>
    <w:pPr>
      <w:autoSpaceDE w:val="0"/>
      <w:autoSpaceDN w:val="0"/>
      <w:spacing w:after="0" w:line="240" w:lineRule="auto"/>
      <w:ind w:left="720"/>
    </w:pPr>
    <w:rPr>
      <w:rFonts w:ascii="CG Times" w:hAnsi="CG Times" w:cs="CG 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alloonText">
    <w:name w:val="Balloon Text"/>
    <w:basedOn w:val="Normal"/>
    <w:link w:val="BalloonTextChar"/>
    <w:uiPriority w:val="99"/>
    <w:semiHidden/>
    <w:rsid w:val="00FC048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div6head">
    <w:name w:val="div6head"/>
    <w:basedOn w:val="DefaultParagraphFont"/>
    <w:uiPriority w:val="99"/>
    <w:rsid w:val="001A7D68"/>
    <w:rPr>
      <w:rFonts w:cs="Times New Roman"/>
    </w:rPr>
  </w:style>
  <w:style w:type="character" w:styleId="CommentReference">
    <w:name w:val="annotation reference"/>
    <w:basedOn w:val="DefaultParagraphFont"/>
    <w:uiPriority w:val="99"/>
    <w:semiHidden/>
    <w:unhideWhenUsed/>
    <w:rsid w:val="002D4D2D"/>
    <w:rPr>
      <w:sz w:val="16"/>
      <w:szCs w:val="16"/>
    </w:rPr>
  </w:style>
  <w:style w:type="paragraph" w:styleId="CommentText">
    <w:name w:val="annotation text"/>
    <w:basedOn w:val="Normal"/>
    <w:link w:val="CommentTextChar"/>
    <w:uiPriority w:val="99"/>
    <w:semiHidden/>
    <w:unhideWhenUsed/>
    <w:rsid w:val="002D4D2D"/>
  </w:style>
  <w:style w:type="character" w:customStyle="1" w:styleId="CommentTextChar">
    <w:name w:val="Comment Text Char"/>
    <w:basedOn w:val="DefaultParagraphFont"/>
    <w:link w:val="CommentText"/>
    <w:uiPriority w:val="99"/>
    <w:semiHidden/>
    <w:rsid w:val="002D4D2D"/>
    <w:rPr>
      <w:sz w:val="20"/>
      <w:szCs w:val="20"/>
    </w:rPr>
  </w:style>
  <w:style w:type="paragraph" w:styleId="CommentSubject">
    <w:name w:val="annotation subject"/>
    <w:basedOn w:val="CommentText"/>
    <w:next w:val="CommentText"/>
    <w:link w:val="CommentSubjectChar"/>
    <w:uiPriority w:val="99"/>
    <w:semiHidden/>
    <w:unhideWhenUsed/>
    <w:rsid w:val="002D4D2D"/>
    <w:rPr>
      <w:b/>
      <w:bCs/>
    </w:rPr>
  </w:style>
  <w:style w:type="character" w:customStyle="1" w:styleId="CommentSubjectChar">
    <w:name w:val="Comment Subject Char"/>
    <w:basedOn w:val="CommentTextChar"/>
    <w:link w:val="CommentSubject"/>
    <w:uiPriority w:val="99"/>
    <w:semiHidden/>
    <w:rsid w:val="002D4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Tempo Field</vt:lpstr>
    </vt:vector>
  </TitlesOfParts>
  <Company>Office of Pollution Control</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 Field</dc:title>
  <dc:subject/>
  <dc:creator>Bruce Ferguson</dc:creator>
  <cp:keywords/>
  <dc:description/>
  <cp:lastModifiedBy>Ivelina Pilgrim</cp:lastModifiedBy>
  <cp:revision>12</cp:revision>
  <cp:lastPrinted>2004-10-07T15:16:00Z</cp:lastPrinted>
  <dcterms:created xsi:type="dcterms:W3CDTF">2018-09-24T15:01:00Z</dcterms:created>
  <dcterms:modified xsi:type="dcterms:W3CDTF">2018-11-05T20:11:00Z</dcterms:modified>
</cp:coreProperties>
</file>