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D906A" w14:textId="77777777" w:rsidR="005E1C12" w:rsidRDefault="005E1C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INFORMATION RELATIVE TO</w:t>
      </w:r>
    </w:p>
    <w:p w14:paraId="516D906B" w14:textId="2D9C88FC" w:rsidR="005E1C12" w:rsidRDefault="005E1C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TITLE V OPERATING PERMIT</w:t>
      </w:r>
    </w:p>
    <w:p w14:paraId="516D906C" w14:textId="303BF6BF" w:rsidR="007E6D99" w:rsidRDefault="008F4E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18</w:t>
      </w:r>
      <w:r w:rsidR="00FD59AE">
        <w:rPr>
          <w:b/>
          <w:bCs/>
          <w:sz w:val="32"/>
          <w:szCs w:val="32"/>
        </w:rPr>
        <w:t>, 2020</w:t>
      </w:r>
    </w:p>
    <w:p w14:paraId="516D906D" w14:textId="77777777" w:rsidR="005E1C12" w:rsidRDefault="005E1C12">
      <w:pPr>
        <w:jc w:val="center"/>
        <w:rPr>
          <w:sz w:val="24"/>
          <w:szCs w:val="24"/>
        </w:rPr>
      </w:pPr>
    </w:p>
    <w:p w14:paraId="516D906E" w14:textId="77777777" w:rsidR="005E1C12" w:rsidRDefault="005E1C12">
      <w:pPr>
        <w:jc w:val="center"/>
        <w:rPr>
          <w:sz w:val="24"/>
          <w:szCs w:val="24"/>
        </w:rPr>
      </w:pPr>
      <w:r>
        <w:rPr>
          <w:sz w:val="24"/>
          <w:szCs w:val="24"/>
        </w:rPr>
        <w:t>FOR:</w:t>
      </w:r>
    </w:p>
    <w:p w14:paraId="516D906F" w14:textId="2A218748" w:rsidR="005E1C12" w:rsidRDefault="005E1C12">
      <w:pPr>
        <w:pStyle w:val="ReferenceLine"/>
        <w:widowControl/>
        <w:tabs>
          <w:tab w:val="left" w:pos="90"/>
        </w:tabs>
        <w:spacing w:after="0"/>
        <w:jc w:val="center"/>
        <w:rPr>
          <w:b/>
          <w:bCs/>
        </w:rPr>
      </w:pPr>
      <w:r>
        <w:rPr>
          <w:b/>
          <w:bCs/>
        </w:rPr>
        <w:t>Vicksburg Forest Products</w:t>
      </w:r>
      <w:r w:rsidR="00FD59AE">
        <w:rPr>
          <w:b/>
          <w:bCs/>
        </w:rPr>
        <w:t xml:space="preserve">, LLC – </w:t>
      </w:r>
      <w:proofErr w:type="spellStart"/>
      <w:r>
        <w:rPr>
          <w:b/>
          <w:bCs/>
        </w:rPr>
        <w:t>Waltersville</w:t>
      </w:r>
      <w:proofErr w:type="spellEnd"/>
      <w:r>
        <w:rPr>
          <w:b/>
          <w:bCs/>
        </w:rPr>
        <w:t xml:space="preserve"> Lumber Mill</w:t>
      </w:r>
    </w:p>
    <w:p w14:paraId="516D9070" w14:textId="77777777" w:rsidR="005E1C12" w:rsidRDefault="005E1C12">
      <w:pPr>
        <w:tabs>
          <w:tab w:val="left" w:pos="90"/>
        </w:tabs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1725 North Washington Street</w:t>
      </w:r>
    </w:p>
    <w:p w14:paraId="516D9073" w14:textId="70F2730A" w:rsidR="005E1C12" w:rsidRDefault="005E1C12">
      <w:pPr>
        <w:pStyle w:val="ReferenceLine"/>
        <w:widowControl/>
        <w:spacing w:after="0"/>
        <w:jc w:val="center"/>
      </w:pPr>
      <w:r>
        <w:rPr>
          <w:b/>
          <w:bCs/>
          <w:color w:val="000000"/>
        </w:rPr>
        <w:t xml:space="preserve">Vicksburg, </w:t>
      </w:r>
      <w:r w:rsidR="00FD59AE">
        <w:rPr>
          <w:b/>
          <w:bCs/>
          <w:color w:val="000000"/>
        </w:rPr>
        <w:t xml:space="preserve">Warren County, </w:t>
      </w:r>
      <w:r>
        <w:rPr>
          <w:b/>
          <w:bCs/>
          <w:color w:val="000000"/>
        </w:rPr>
        <w:t xml:space="preserve">MS </w:t>
      </w:r>
      <w:r w:rsidR="00FD59A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39183    </w:t>
      </w:r>
    </w:p>
    <w:p w14:paraId="516D9074" w14:textId="77777777" w:rsidR="005E1C12" w:rsidRDefault="005E1C12">
      <w:pPr>
        <w:pStyle w:val="ReferenceLine"/>
        <w:widowControl/>
        <w:spacing w:after="0"/>
      </w:pPr>
    </w:p>
    <w:p w14:paraId="516D9075" w14:textId="77777777" w:rsidR="00531513" w:rsidRDefault="00531513" w:rsidP="00104CE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FACILITY DESCRIPTION</w:t>
      </w:r>
    </w:p>
    <w:p w14:paraId="044002ED" w14:textId="77777777" w:rsidR="0093127B" w:rsidRDefault="0093127B" w:rsidP="007425A8">
      <w:pPr>
        <w:pStyle w:val="NoSpacing"/>
      </w:pPr>
    </w:p>
    <w:p w14:paraId="516D9076" w14:textId="63900112" w:rsidR="00E60EA3" w:rsidRDefault="007425A8" w:rsidP="00742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Vicksburg Forest Products, LLC – </w:t>
      </w:r>
      <w:proofErr w:type="spellStart"/>
      <w:r>
        <w:rPr>
          <w:sz w:val="24"/>
          <w:szCs w:val="24"/>
        </w:rPr>
        <w:t>Waltersville</w:t>
      </w:r>
      <w:proofErr w:type="spellEnd"/>
      <w:r>
        <w:rPr>
          <w:sz w:val="24"/>
          <w:szCs w:val="24"/>
        </w:rPr>
        <w:t xml:space="preserve"> Lumber Mill </w:t>
      </w:r>
      <w:r w:rsidR="004433D4">
        <w:rPr>
          <w:sz w:val="24"/>
          <w:szCs w:val="24"/>
        </w:rPr>
        <w:t xml:space="preserve">(i.e. “VFP”) </w:t>
      </w:r>
      <w:r>
        <w:rPr>
          <w:sz w:val="24"/>
          <w:szCs w:val="24"/>
        </w:rPr>
        <w:t xml:space="preserve">is an existing industrial facility that </w:t>
      </w:r>
      <w:r w:rsidR="00833EBA">
        <w:rPr>
          <w:sz w:val="24"/>
          <w:szCs w:val="24"/>
        </w:rPr>
        <w:t xml:space="preserve">manufactures dimensional lumber primarily from harvested softwood timber (lumber from harvested hardwood timber is only made occasionally).  The </w:t>
      </w:r>
      <w:r w:rsidR="00D173FC">
        <w:rPr>
          <w:sz w:val="24"/>
          <w:szCs w:val="24"/>
        </w:rPr>
        <w:t>process</w:t>
      </w:r>
      <w:r w:rsidR="00833EBA">
        <w:rPr>
          <w:sz w:val="24"/>
          <w:szCs w:val="24"/>
        </w:rPr>
        <w:t xml:space="preserve"> </w:t>
      </w:r>
      <w:r w:rsidR="00833EBA" w:rsidRPr="00833EBA">
        <w:rPr>
          <w:sz w:val="24"/>
          <w:szCs w:val="24"/>
        </w:rPr>
        <w:t xml:space="preserve">involves debarking timber and then creating dimensional timber from logs in the sawmill area.  </w:t>
      </w:r>
      <w:r w:rsidR="00D173FC">
        <w:rPr>
          <w:sz w:val="24"/>
          <w:szCs w:val="24"/>
        </w:rPr>
        <w:t>T</w:t>
      </w:r>
      <w:r w:rsidR="00833EBA" w:rsidRPr="00833EBA">
        <w:rPr>
          <w:sz w:val="24"/>
          <w:szCs w:val="24"/>
        </w:rPr>
        <w:t xml:space="preserve">he </w:t>
      </w:r>
      <w:r w:rsidR="00D173FC">
        <w:rPr>
          <w:sz w:val="24"/>
          <w:szCs w:val="24"/>
        </w:rPr>
        <w:t xml:space="preserve">lumber is </w:t>
      </w:r>
      <w:r w:rsidR="00833EBA" w:rsidRPr="00833EBA">
        <w:rPr>
          <w:sz w:val="24"/>
          <w:szCs w:val="24"/>
        </w:rPr>
        <w:t>stacked and transferred to</w:t>
      </w:r>
      <w:r w:rsidR="0013146E">
        <w:rPr>
          <w:sz w:val="24"/>
          <w:szCs w:val="24"/>
        </w:rPr>
        <w:t xml:space="preserve"> </w:t>
      </w:r>
      <w:r w:rsidR="006B4D57">
        <w:rPr>
          <w:sz w:val="24"/>
          <w:szCs w:val="24"/>
        </w:rPr>
        <w:t>steam-heated, indirect-fired drying kilns [twenty-eight (28) in total)</w:t>
      </w:r>
      <w:r w:rsidR="00833EBA" w:rsidRPr="00833EBA">
        <w:rPr>
          <w:sz w:val="24"/>
          <w:szCs w:val="24"/>
        </w:rPr>
        <w:t xml:space="preserve">.  </w:t>
      </w:r>
      <w:r w:rsidR="006B4D57">
        <w:rPr>
          <w:sz w:val="24"/>
          <w:szCs w:val="24"/>
        </w:rPr>
        <w:t xml:space="preserve">The dried rough lumber </w:t>
      </w:r>
      <w:proofErr w:type="gramStart"/>
      <w:r w:rsidR="006B4D57">
        <w:rPr>
          <w:sz w:val="24"/>
          <w:szCs w:val="24"/>
        </w:rPr>
        <w:t xml:space="preserve">is then </w:t>
      </w:r>
      <w:r w:rsidR="00833EBA" w:rsidRPr="00833EBA">
        <w:rPr>
          <w:sz w:val="24"/>
          <w:szCs w:val="24"/>
        </w:rPr>
        <w:t>shaped</w:t>
      </w:r>
      <w:proofErr w:type="gramEnd"/>
      <w:r w:rsidR="00833EBA" w:rsidRPr="00833EBA">
        <w:rPr>
          <w:sz w:val="24"/>
          <w:szCs w:val="24"/>
        </w:rPr>
        <w:t xml:space="preserve"> to the requisi</w:t>
      </w:r>
      <w:r w:rsidR="00D173FC">
        <w:rPr>
          <w:sz w:val="24"/>
          <w:szCs w:val="24"/>
        </w:rPr>
        <w:t>te thickness, width, and length</w:t>
      </w:r>
      <w:r w:rsidR="00833EBA" w:rsidRPr="00833EBA">
        <w:rPr>
          <w:sz w:val="24"/>
          <w:szCs w:val="24"/>
        </w:rPr>
        <w:t xml:space="preserve"> </w:t>
      </w:r>
      <w:r w:rsidR="00D173FC">
        <w:rPr>
          <w:sz w:val="24"/>
          <w:szCs w:val="24"/>
        </w:rPr>
        <w:t xml:space="preserve">within </w:t>
      </w:r>
      <w:r w:rsidR="00833EBA" w:rsidRPr="00833EBA">
        <w:rPr>
          <w:sz w:val="24"/>
          <w:szCs w:val="24"/>
        </w:rPr>
        <w:t>the planer mill area.</w:t>
      </w:r>
      <w:r w:rsidR="006B4D57">
        <w:rPr>
          <w:sz w:val="24"/>
          <w:szCs w:val="24"/>
        </w:rPr>
        <w:t xml:space="preserve">  </w:t>
      </w:r>
      <w:r w:rsidR="00D173FC">
        <w:rPr>
          <w:sz w:val="24"/>
          <w:szCs w:val="24"/>
        </w:rPr>
        <w:t>Thereafter, the</w:t>
      </w:r>
      <w:r w:rsidR="001B4C36">
        <w:rPr>
          <w:sz w:val="24"/>
          <w:szCs w:val="24"/>
        </w:rPr>
        <w:t xml:space="preserve"> lumber may undergo additional processes before considered a finalized product (a chemical treatment process in order to apply a fungicide, insecticide, and/or iron stain inhibitor; a coating process in order to apply logos, stamp grades, or seal edges).</w:t>
      </w:r>
    </w:p>
    <w:p w14:paraId="71B29B63" w14:textId="6C4B65C5" w:rsidR="001B4C36" w:rsidRDefault="001B4C36" w:rsidP="007425A8">
      <w:pPr>
        <w:pStyle w:val="NoSpacing"/>
        <w:rPr>
          <w:sz w:val="24"/>
          <w:szCs w:val="24"/>
        </w:rPr>
      </w:pPr>
    </w:p>
    <w:p w14:paraId="238C1F2B" w14:textId="687D5C6C" w:rsidR="001B4C36" w:rsidRPr="00E35EF0" w:rsidRDefault="00D91E0B" w:rsidP="007425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overall emissions generated within the planer mill area </w:t>
      </w:r>
      <w:proofErr w:type="gramStart"/>
      <w:r>
        <w:rPr>
          <w:sz w:val="24"/>
          <w:szCs w:val="24"/>
        </w:rPr>
        <w:t>are routed</w:t>
      </w:r>
      <w:proofErr w:type="gramEnd"/>
      <w:r>
        <w:rPr>
          <w:sz w:val="24"/>
          <w:szCs w:val="24"/>
        </w:rPr>
        <w:t xml:space="preserve"> to the facility’s wood waste handling system, which consists of a baghouse and a cyclone).  The dried wood shavings generated within the planer mill </w:t>
      </w:r>
      <w:proofErr w:type="gramStart"/>
      <w:r>
        <w:rPr>
          <w:sz w:val="24"/>
          <w:szCs w:val="24"/>
        </w:rPr>
        <w:t>are routed</w:t>
      </w:r>
      <w:proofErr w:type="gramEnd"/>
      <w:r>
        <w:rPr>
          <w:sz w:val="24"/>
          <w:szCs w:val="24"/>
        </w:rPr>
        <w:t xml:space="preserve"> to a fuel bin for the wood waste-fired boiler via the cyclone.</w:t>
      </w:r>
      <w:r w:rsidR="001C7F2D">
        <w:rPr>
          <w:sz w:val="24"/>
          <w:szCs w:val="24"/>
        </w:rPr>
        <w:t xml:space="preserve">   </w:t>
      </w:r>
    </w:p>
    <w:p w14:paraId="516D9077" w14:textId="77777777" w:rsidR="00531513" w:rsidRDefault="00531513" w:rsidP="00104CE2">
      <w:pPr>
        <w:jc w:val="both"/>
        <w:rPr>
          <w:sz w:val="24"/>
          <w:szCs w:val="24"/>
        </w:rPr>
      </w:pPr>
    </w:p>
    <w:p w14:paraId="516D9078" w14:textId="77777777" w:rsidR="00531513" w:rsidRDefault="00531513" w:rsidP="00104CE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TITLE V </w:t>
      </w:r>
      <w:r w:rsidR="00BA3BCF">
        <w:rPr>
          <w:sz w:val="24"/>
          <w:szCs w:val="24"/>
          <w:u w:val="single"/>
        </w:rPr>
        <w:t>SOURCE</w:t>
      </w:r>
      <w:r>
        <w:rPr>
          <w:sz w:val="24"/>
          <w:szCs w:val="24"/>
          <w:u w:val="single"/>
        </w:rPr>
        <w:t xml:space="preserve"> APPLICABILITY </w:t>
      </w:r>
    </w:p>
    <w:p w14:paraId="48CD4292" w14:textId="77777777" w:rsidR="0093127B" w:rsidRDefault="0093127B" w:rsidP="00104CE2">
      <w:pPr>
        <w:jc w:val="both"/>
        <w:rPr>
          <w:sz w:val="24"/>
          <w:szCs w:val="24"/>
        </w:rPr>
      </w:pPr>
    </w:p>
    <w:p w14:paraId="4618C0D4" w14:textId="67DE894E" w:rsidR="0093127B" w:rsidRDefault="00E60EA3" w:rsidP="0093127B">
      <w:pPr>
        <w:rPr>
          <w:sz w:val="24"/>
          <w:szCs w:val="24"/>
        </w:rPr>
      </w:pPr>
      <w:r w:rsidRPr="00E60EA3">
        <w:rPr>
          <w:sz w:val="24"/>
          <w:szCs w:val="24"/>
        </w:rPr>
        <w:t xml:space="preserve">The facility’s potential-to-emit </w:t>
      </w:r>
      <w:r w:rsidR="00756E55">
        <w:rPr>
          <w:sz w:val="24"/>
          <w:szCs w:val="24"/>
        </w:rPr>
        <w:t>exceeds</w:t>
      </w:r>
      <w:r w:rsidRPr="00E60EA3">
        <w:rPr>
          <w:sz w:val="24"/>
          <w:szCs w:val="24"/>
        </w:rPr>
        <w:t xml:space="preserve"> the Title V </w:t>
      </w:r>
      <w:r>
        <w:rPr>
          <w:sz w:val="24"/>
          <w:szCs w:val="24"/>
        </w:rPr>
        <w:t>major source threshold</w:t>
      </w:r>
      <w:r w:rsidRPr="00E60EA3">
        <w:rPr>
          <w:sz w:val="24"/>
          <w:szCs w:val="24"/>
        </w:rPr>
        <w:t xml:space="preserve"> of 100 tons</w:t>
      </w:r>
      <w:r w:rsidR="00FD3166">
        <w:rPr>
          <w:sz w:val="24"/>
          <w:szCs w:val="24"/>
        </w:rPr>
        <w:t xml:space="preserve"> per </w:t>
      </w:r>
      <w:r w:rsidRPr="00E60EA3">
        <w:rPr>
          <w:sz w:val="24"/>
          <w:szCs w:val="24"/>
        </w:rPr>
        <w:t xml:space="preserve">year </w:t>
      </w:r>
      <w:r w:rsidR="00FD3166">
        <w:rPr>
          <w:sz w:val="24"/>
          <w:szCs w:val="24"/>
        </w:rPr>
        <w:t>(</w:t>
      </w:r>
      <w:proofErr w:type="spellStart"/>
      <w:r w:rsidR="00FD3166">
        <w:rPr>
          <w:sz w:val="24"/>
          <w:szCs w:val="24"/>
        </w:rPr>
        <w:t>tpy</w:t>
      </w:r>
      <w:proofErr w:type="spellEnd"/>
      <w:r w:rsidR="00FD3166">
        <w:rPr>
          <w:sz w:val="24"/>
          <w:szCs w:val="24"/>
        </w:rPr>
        <w:t xml:space="preserve">) </w:t>
      </w:r>
      <w:r>
        <w:rPr>
          <w:sz w:val="24"/>
          <w:szCs w:val="24"/>
        </w:rPr>
        <w:t>for</w:t>
      </w:r>
      <w:r w:rsidRPr="00E60EA3">
        <w:rPr>
          <w:sz w:val="24"/>
          <w:szCs w:val="24"/>
        </w:rPr>
        <w:t xml:space="preserve"> each of the following criteria air pollutants</w:t>
      </w:r>
      <w:r>
        <w:rPr>
          <w:sz w:val="24"/>
          <w:szCs w:val="24"/>
        </w:rPr>
        <w:t>:</w:t>
      </w:r>
      <w:r w:rsidR="0093127B">
        <w:rPr>
          <w:sz w:val="24"/>
          <w:szCs w:val="24"/>
        </w:rPr>
        <w:t xml:space="preserve">  particulate matter (PM), particulate matter less than 10 µm (PM</w:t>
      </w:r>
      <w:r w:rsidR="0093127B" w:rsidRPr="0093127B">
        <w:rPr>
          <w:sz w:val="24"/>
          <w:szCs w:val="24"/>
          <w:vertAlign w:val="subscript"/>
        </w:rPr>
        <w:t>10</w:t>
      </w:r>
      <w:r w:rsidR="0093127B">
        <w:rPr>
          <w:sz w:val="24"/>
          <w:szCs w:val="24"/>
        </w:rPr>
        <w:t>), particulate matter less than 2.5 µm (PM</w:t>
      </w:r>
      <w:r w:rsidR="0093127B" w:rsidRPr="0093127B">
        <w:rPr>
          <w:sz w:val="24"/>
          <w:szCs w:val="24"/>
          <w:vertAlign w:val="subscript"/>
        </w:rPr>
        <w:t>2.5</w:t>
      </w:r>
      <w:r w:rsidR="0093127B">
        <w:rPr>
          <w:sz w:val="24"/>
          <w:szCs w:val="24"/>
        </w:rPr>
        <w:t>), nitrogen oxides (NO</w:t>
      </w:r>
      <w:r w:rsidR="0093127B" w:rsidRPr="0093127B">
        <w:rPr>
          <w:sz w:val="24"/>
          <w:szCs w:val="24"/>
          <w:vertAlign w:val="subscript"/>
        </w:rPr>
        <w:t>X</w:t>
      </w:r>
      <w:r w:rsidR="0093127B">
        <w:rPr>
          <w:sz w:val="24"/>
          <w:szCs w:val="24"/>
        </w:rPr>
        <w:t xml:space="preserve">), carbon monoxide (CO), and volatile organic compounds (VOCs).  </w:t>
      </w:r>
    </w:p>
    <w:p w14:paraId="0585A1F7" w14:textId="77777777" w:rsidR="0093127B" w:rsidRDefault="0093127B" w:rsidP="0093127B">
      <w:pPr>
        <w:rPr>
          <w:sz w:val="24"/>
          <w:szCs w:val="24"/>
        </w:rPr>
      </w:pPr>
    </w:p>
    <w:p w14:paraId="1329DD15" w14:textId="3E0E637F" w:rsidR="0093127B" w:rsidRDefault="00E60EA3" w:rsidP="0093127B">
      <w:pPr>
        <w:rPr>
          <w:sz w:val="24"/>
          <w:szCs w:val="24"/>
        </w:rPr>
      </w:pPr>
      <w:r w:rsidRPr="00BA3BCF">
        <w:rPr>
          <w:sz w:val="24"/>
          <w:szCs w:val="24"/>
        </w:rPr>
        <w:t>The facility’s potential</w:t>
      </w:r>
      <w:r w:rsidR="00FD3166" w:rsidRPr="00BA3BCF">
        <w:rPr>
          <w:sz w:val="24"/>
          <w:szCs w:val="24"/>
        </w:rPr>
        <w:t>-to-emit hazardous a</w:t>
      </w:r>
      <w:r w:rsidRPr="00BA3BCF">
        <w:rPr>
          <w:sz w:val="24"/>
          <w:szCs w:val="24"/>
        </w:rPr>
        <w:t xml:space="preserve">ir </w:t>
      </w:r>
      <w:r w:rsidR="00FD3166" w:rsidRPr="00BA3BCF">
        <w:rPr>
          <w:sz w:val="24"/>
          <w:szCs w:val="24"/>
        </w:rPr>
        <w:t>p</w:t>
      </w:r>
      <w:r w:rsidRPr="00BA3BCF">
        <w:rPr>
          <w:sz w:val="24"/>
          <w:szCs w:val="24"/>
        </w:rPr>
        <w:t xml:space="preserve">ollutants (HAPs) </w:t>
      </w:r>
      <w:r w:rsidR="0093127B">
        <w:rPr>
          <w:sz w:val="24"/>
          <w:szCs w:val="24"/>
        </w:rPr>
        <w:t xml:space="preserve">does not </w:t>
      </w:r>
      <w:r w:rsidR="00756E55">
        <w:rPr>
          <w:sz w:val="24"/>
          <w:szCs w:val="24"/>
        </w:rPr>
        <w:t>exceed</w:t>
      </w:r>
      <w:r w:rsidR="0093127B">
        <w:rPr>
          <w:sz w:val="24"/>
          <w:szCs w:val="24"/>
        </w:rPr>
        <w:t xml:space="preserve"> </w:t>
      </w:r>
      <w:r w:rsidR="000B4592">
        <w:rPr>
          <w:sz w:val="24"/>
          <w:szCs w:val="24"/>
        </w:rPr>
        <w:t>either Title V major source threshold</w:t>
      </w:r>
      <w:r w:rsidR="00756E55">
        <w:rPr>
          <w:sz w:val="24"/>
          <w:szCs w:val="24"/>
        </w:rPr>
        <w:t xml:space="preserve"> of 25 </w:t>
      </w:r>
      <w:proofErr w:type="spellStart"/>
      <w:r w:rsidR="00756E55">
        <w:rPr>
          <w:sz w:val="24"/>
          <w:szCs w:val="24"/>
        </w:rPr>
        <w:t>tpy</w:t>
      </w:r>
      <w:proofErr w:type="spellEnd"/>
      <w:r w:rsidR="00756E55">
        <w:rPr>
          <w:sz w:val="24"/>
          <w:szCs w:val="24"/>
        </w:rPr>
        <w:t xml:space="preserve"> for all HAPs in total </w:t>
      </w:r>
      <w:r w:rsidR="000B4592">
        <w:rPr>
          <w:sz w:val="24"/>
          <w:szCs w:val="24"/>
        </w:rPr>
        <w:t xml:space="preserve">or </w:t>
      </w:r>
      <w:r w:rsidR="00756E55">
        <w:rPr>
          <w:sz w:val="24"/>
          <w:szCs w:val="24"/>
        </w:rPr>
        <w:t xml:space="preserve">10 </w:t>
      </w:r>
      <w:proofErr w:type="spellStart"/>
      <w:r w:rsidR="00756E55">
        <w:rPr>
          <w:sz w:val="24"/>
          <w:szCs w:val="24"/>
        </w:rPr>
        <w:t>tpy</w:t>
      </w:r>
      <w:proofErr w:type="spellEnd"/>
      <w:r w:rsidR="00756E55">
        <w:rPr>
          <w:sz w:val="24"/>
          <w:szCs w:val="24"/>
        </w:rPr>
        <w:t xml:space="preserve"> for any individual HA</w:t>
      </w:r>
      <w:r w:rsidR="000B4592">
        <w:rPr>
          <w:sz w:val="24"/>
          <w:szCs w:val="24"/>
        </w:rPr>
        <w:t xml:space="preserve">P.  The facility established restrictions in a Permit to Construct Air Emissions Equipment issued on October 3, 2018 to maintain emissions </w:t>
      </w:r>
      <w:r w:rsidR="00493687">
        <w:rPr>
          <w:sz w:val="24"/>
          <w:szCs w:val="24"/>
        </w:rPr>
        <w:t xml:space="preserve">at or below 9.9 </w:t>
      </w:r>
      <w:proofErr w:type="spellStart"/>
      <w:r w:rsidR="00493687">
        <w:rPr>
          <w:sz w:val="24"/>
          <w:szCs w:val="24"/>
        </w:rPr>
        <w:t>tpy</w:t>
      </w:r>
      <w:proofErr w:type="spellEnd"/>
      <w:r w:rsidR="00493687">
        <w:rPr>
          <w:sz w:val="24"/>
          <w:szCs w:val="24"/>
        </w:rPr>
        <w:t xml:space="preserve"> for individual HAP and 24.9 </w:t>
      </w:r>
      <w:proofErr w:type="spellStart"/>
      <w:r w:rsidR="00493687">
        <w:rPr>
          <w:sz w:val="24"/>
          <w:szCs w:val="24"/>
        </w:rPr>
        <w:t>tpy</w:t>
      </w:r>
      <w:proofErr w:type="spellEnd"/>
      <w:r w:rsidR="00493687">
        <w:rPr>
          <w:sz w:val="24"/>
          <w:szCs w:val="24"/>
        </w:rPr>
        <w:t xml:space="preserve"> for all HAPs in total.</w:t>
      </w:r>
    </w:p>
    <w:p w14:paraId="516D907B" w14:textId="77777777" w:rsidR="00BA3BCF" w:rsidRDefault="00BA3BCF" w:rsidP="00104CE2">
      <w:pPr>
        <w:jc w:val="both"/>
        <w:rPr>
          <w:sz w:val="24"/>
          <w:szCs w:val="24"/>
        </w:rPr>
      </w:pPr>
    </w:p>
    <w:p w14:paraId="516D907C" w14:textId="62A6E0F7" w:rsidR="00BA3BCF" w:rsidRDefault="00BA3BCF" w:rsidP="00BA3BCF">
      <w:pPr>
        <w:jc w:val="both"/>
        <w:rPr>
          <w:sz w:val="24"/>
          <w:szCs w:val="24"/>
          <w:u w:val="single"/>
        </w:rPr>
      </w:pPr>
      <w:r w:rsidRPr="00AD7559">
        <w:rPr>
          <w:sz w:val="24"/>
          <w:szCs w:val="24"/>
          <w:u w:val="single"/>
        </w:rPr>
        <w:t>PREVENTION OF SIGNIFICANT DETERIORATION (PSD) APPLICABILITY</w:t>
      </w:r>
    </w:p>
    <w:p w14:paraId="37113EEB" w14:textId="16D4AA28" w:rsidR="00493687" w:rsidRDefault="00493687" w:rsidP="00BA3BCF">
      <w:pPr>
        <w:jc w:val="both"/>
        <w:rPr>
          <w:sz w:val="24"/>
          <w:szCs w:val="24"/>
          <w:u w:val="single"/>
        </w:rPr>
      </w:pPr>
    </w:p>
    <w:p w14:paraId="77906F6F" w14:textId="28CB6B1D" w:rsidR="00696ED7" w:rsidRDefault="007F6CC4" w:rsidP="00696ED7">
      <w:pPr>
        <w:rPr>
          <w:sz w:val="24"/>
          <w:szCs w:val="24"/>
        </w:rPr>
      </w:pPr>
      <w:r>
        <w:rPr>
          <w:sz w:val="24"/>
          <w:szCs w:val="24"/>
        </w:rPr>
        <w:t>Given that the facility is not one of the twenty-eight (28) categorical stationary sources listed in 40 CFR 52.21(b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1)(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)(c)(iii); the applicable threshold is 250 </w:t>
      </w:r>
      <w:proofErr w:type="spellStart"/>
      <w:r>
        <w:rPr>
          <w:sz w:val="24"/>
          <w:szCs w:val="24"/>
        </w:rPr>
        <w:t>tpy</w:t>
      </w:r>
      <w:proofErr w:type="spellEnd"/>
      <w:r>
        <w:rPr>
          <w:sz w:val="24"/>
          <w:szCs w:val="24"/>
        </w:rPr>
        <w:t xml:space="preserve">.  As such, </w:t>
      </w:r>
      <w:r w:rsidRPr="007F6CC4">
        <w:rPr>
          <w:sz w:val="24"/>
          <w:szCs w:val="24"/>
        </w:rPr>
        <w:t>VFP is a PSD major source for volatile organic compounds (VOCs).</w:t>
      </w:r>
    </w:p>
    <w:p w14:paraId="77B21F08" w14:textId="6DE9205D" w:rsidR="007F6CC4" w:rsidRPr="00696ED7" w:rsidRDefault="007F6CC4" w:rsidP="00696ED7">
      <w:pPr>
        <w:rPr>
          <w:sz w:val="24"/>
          <w:szCs w:val="24"/>
        </w:rPr>
      </w:pPr>
    </w:p>
    <w:p w14:paraId="1E8AA5AC" w14:textId="77777777" w:rsidR="00696ED7" w:rsidRDefault="00696ED7" w:rsidP="00696ED7">
      <w:pPr>
        <w:rPr>
          <w:sz w:val="24"/>
          <w:szCs w:val="24"/>
          <w:u w:val="single"/>
        </w:rPr>
      </w:pPr>
    </w:p>
    <w:p w14:paraId="516D907F" w14:textId="257C06DC" w:rsidR="00BA3BCF" w:rsidRDefault="00BA3BCF" w:rsidP="00BA3BC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FACILITY MODIFICATIONS AND/OR PERMIT CHANGES</w:t>
      </w:r>
    </w:p>
    <w:p w14:paraId="221FF86C" w14:textId="77777777" w:rsidR="00357DC3" w:rsidRDefault="00357DC3" w:rsidP="00BA3BCF">
      <w:pPr>
        <w:jc w:val="both"/>
        <w:rPr>
          <w:sz w:val="24"/>
          <w:szCs w:val="24"/>
          <w:u w:val="single"/>
        </w:rPr>
      </w:pPr>
    </w:p>
    <w:p w14:paraId="52124EA7" w14:textId="08E5E6E4" w:rsidR="00145E23" w:rsidRDefault="00357DC3" w:rsidP="00596820">
      <w:pPr>
        <w:rPr>
          <w:sz w:val="24"/>
          <w:szCs w:val="24"/>
        </w:rPr>
      </w:pPr>
      <w:r w:rsidRPr="00357DC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purpose of this permitting action is to renew VFP’s Title V Operating Permit (TVOP) </w:t>
      </w:r>
      <w:r w:rsidR="001B63BC">
        <w:rPr>
          <w:sz w:val="24"/>
          <w:szCs w:val="24"/>
        </w:rPr>
        <w:t xml:space="preserve">(initially issued on March 25, 2016; modified on May 24, 2018).  Within this renewal action, the following modifications requested by the facility </w:t>
      </w:r>
      <w:proofErr w:type="gramStart"/>
      <w:r w:rsidR="001B63BC">
        <w:rPr>
          <w:sz w:val="24"/>
          <w:szCs w:val="24"/>
        </w:rPr>
        <w:t>will be incorporated</w:t>
      </w:r>
      <w:proofErr w:type="gramEnd"/>
      <w:r w:rsidR="001B63BC">
        <w:rPr>
          <w:sz w:val="24"/>
          <w:szCs w:val="24"/>
        </w:rPr>
        <w:t xml:space="preserve"> into the permit:</w:t>
      </w:r>
    </w:p>
    <w:p w14:paraId="76D76C27" w14:textId="56761758" w:rsidR="001B63BC" w:rsidRDefault="001B63BC" w:rsidP="00596820">
      <w:pPr>
        <w:rPr>
          <w:sz w:val="24"/>
          <w:szCs w:val="24"/>
        </w:rPr>
      </w:pPr>
    </w:p>
    <w:p w14:paraId="0B6A5FB7" w14:textId="4CD2ACA2" w:rsidR="001B63BC" w:rsidRDefault="00506848" w:rsidP="00972EE4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sz w:val="24"/>
          <w:szCs w:val="24"/>
        </w:rPr>
      </w:pPr>
      <w:r w:rsidRPr="00506848">
        <w:rPr>
          <w:i/>
          <w:sz w:val="24"/>
          <w:szCs w:val="24"/>
        </w:rPr>
        <w:t>Reduction in monitoring (opacity)</w:t>
      </w:r>
      <w:r>
        <w:rPr>
          <w:sz w:val="24"/>
          <w:szCs w:val="24"/>
        </w:rPr>
        <w:t xml:space="preserve"> – </w:t>
      </w:r>
      <w:r w:rsidR="00766A10">
        <w:rPr>
          <w:sz w:val="24"/>
          <w:szCs w:val="24"/>
        </w:rPr>
        <w:t xml:space="preserve">The frequency for conducting visible emission observations on the wood waste-fired boiler (Emission Point AA-002) </w:t>
      </w:r>
      <w:proofErr w:type="gramStart"/>
      <w:r w:rsidR="00766A10">
        <w:rPr>
          <w:sz w:val="24"/>
          <w:szCs w:val="24"/>
        </w:rPr>
        <w:t>has been reduced</w:t>
      </w:r>
      <w:proofErr w:type="gramEnd"/>
      <w:r w:rsidR="00766A10">
        <w:rPr>
          <w:sz w:val="24"/>
          <w:szCs w:val="24"/>
        </w:rPr>
        <w:t xml:space="preserve"> from daily to weekly.  </w:t>
      </w:r>
      <w:r w:rsidR="006C2C8E">
        <w:rPr>
          <w:sz w:val="24"/>
          <w:szCs w:val="24"/>
        </w:rPr>
        <w:t>The justification for this reduction was based on the realization that historical opacity readings never exceeded fifteen percent (</w:t>
      </w:r>
      <w:r w:rsidR="009C6F4F">
        <w:rPr>
          <w:sz w:val="24"/>
          <w:szCs w:val="24"/>
        </w:rPr>
        <w:t>1</w:t>
      </w:r>
      <w:r w:rsidR="006C2C8E">
        <w:rPr>
          <w:sz w:val="24"/>
          <w:szCs w:val="24"/>
        </w:rPr>
        <w:t xml:space="preserve">5%), and the noted boiler </w:t>
      </w:r>
      <w:r w:rsidR="009C6F4F">
        <w:rPr>
          <w:sz w:val="24"/>
          <w:szCs w:val="24"/>
        </w:rPr>
        <w:t>can only combust uncontaminated wood wa</w:t>
      </w:r>
      <w:bookmarkStart w:id="0" w:name="_GoBack"/>
      <w:bookmarkEnd w:id="0"/>
      <w:r w:rsidR="009C6F4F">
        <w:rPr>
          <w:sz w:val="24"/>
          <w:szCs w:val="24"/>
        </w:rPr>
        <w:t>ste (as a result of the Permit to Construct issued on October 3, 2018).</w:t>
      </w:r>
    </w:p>
    <w:p w14:paraId="58924E55" w14:textId="1963D30A" w:rsidR="009C6F4F" w:rsidRDefault="009C6F4F" w:rsidP="009C6F4F">
      <w:pPr>
        <w:tabs>
          <w:tab w:val="left" w:pos="360"/>
        </w:tabs>
        <w:rPr>
          <w:sz w:val="24"/>
          <w:szCs w:val="24"/>
        </w:rPr>
      </w:pPr>
    </w:p>
    <w:p w14:paraId="358B8202" w14:textId="141347D2" w:rsidR="00D65749" w:rsidRDefault="009C6F4F" w:rsidP="009C6F4F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sz w:val="24"/>
          <w:szCs w:val="24"/>
        </w:rPr>
      </w:pPr>
      <w:r w:rsidRPr="006B2FD6">
        <w:rPr>
          <w:i/>
          <w:sz w:val="24"/>
          <w:szCs w:val="24"/>
        </w:rPr>
        <w:t>Reduction in monitoring (stack testing)</w:t>
      </w:r>
      <w:r>
        <w:rPr>
          <w:sz w:val="24"/>
          <w:szCs w:val="24"/>
        </w:rPr>
        <w:t xml:space="preserve"> </w:t>
      </w:r>
      <w:r w:rsidR="006B2FD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B2FD6">
        <w:rPr>
          <w:sz w:val="24"/>
          <w:szCs w:val="24"/>
        </w:rPr>
        <w:t xml:space="preserve">Based on historical stack testing data over the </w:t>
      </w:r>
      <w:r w:rsidR="008A4995">
        <w:rPr>
          <w:sz w:val="24"/>
          <w:szCs w:val="24"/>
        </w:rPr>
        <w:t>past</w:t>
      </w:r>
      <w:r w:rsidR="006B2FD6">
        <w:rPr>
          <w:sz w:val="24"/>
          <w:szCs w:val="24"/>
        </w:rPr>
        <w:t xml:space="preserve"> ten (10) years, the frequency for which </w:t>
      </w:r>
      <w:r w:rsidR="006D06EF">
        <w:rPr>
          <w:sz w:val="24"/>
          <w:szCs w:val="24"/>
        </w:rPr>
        <w:t>VFP</w:t>
      </w:r>
      <w:r w:rsidR="006B2FD6">
        <w:rPr>
          <w:sz w:val="24"/>
          <w:szCs w:val="24"/>
        </w:rPr>
        <w:t xml:space="preserve"> must</w:t>
      </w:r>
      <w:r w:rsidR="008A4995">
        <w:rPr>
          <w:sz w:val="24"/>
          <w:szCs w:val="24"/>
        </w:rPr>
        <w:t xml:space="preserve"> conduct performance</w:t>
      </w:r>
      <w:r w:rsidR="006B2FD6">
        <w:rPr>
          <w:sz w:val="24"/>
          <w:szCs w:val="24"/>
        </w:rPr>
        <w:t xml:space="preserve"> </w:t>
      </w:r>
      <w:r w:rsidR="006D06EF">
        <w:rPr>
          <w:sz w:val="24"/>
          <w:szCs w:val="24"/>
        </w:rPr>
        <w:t xml:space="preserve">stack </w:t>
      </w:r>
      <w:r w:rsidR="006B2FD6">
        <w:rPr>
          <w:sz w:val="24"/>
          <w:szCs w:val="24"/>
        </w:rPr>
        <w:t>test</w:t>
      </w:r>
      <w:r w:rsidR="008A4995">
        <w:rPr>
          <w:sz w:val="24"/>
          <w:szCs w:val="24"/>
        </w:rPr>
        <w:t>ing to evaluate</w:t>
      </w:r>
      <w:r w:rsidR="006B2FD6">
        <w:rPr>
          <w:sz w:val="24"/>
          <w:szCs w:val="24"/>
        </w:rPr>
        <w:t xml:space="preserve"> pollutant</w:t>
      </w:r>
      <w:r w:rsidR="008A4995">
        <w:rPr>
          <w:sz w:val="24"/>
          <w:szCs w:val="24"/>
        </w:rPr>
        <w:t>-specific</w:t>
      </w:r>
      <w:r w:rsidR="006B2FD6">
        <w:rPr>
          <w:sz w:val="24"/>
          <w:szCs w:val="24"/>
        </w:rPr>
        <w:t xml:space="preserve"> emissions from Emission Point AA-002 </w:t>
      </w:r>
      <w:r w:rsidR="00D65749">
        <w:rPr>
          <w:sz w:val="24"/>
          <w:szCs w:val="24"/>
        </w:rPr>
        <w:t>will be modified as following:</w:t>
      </w:r>
    </w:p>
    <w:p w14:paraId="2EE420F6" w14:textId="77777777" w:rsidR="00D65749" w:rsidRDefault="00D65749" w:rsidP="00D65749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25A3E520" w14:textId="142ECFD8" w:rsidR="009C6F4F" w:rsidRDefault="00D65749" w:rsidP="00D65749">
      <w:pPr>
        <w:pStyle w:val="ListParagraph"/>
        <w:numPr>
          <w:ilvl w:val="0"/>
          <w:numId w:val="5"/>
        </w:num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As the historical </w:t>
      </w:r>
      <w:r w:rsidR="006B2FD6">
        <w:rPr>
          <w:sz w:val="24"/>
          <w:szCs w:val="24"/>
        </w:rPr>
        <w:t xml:space="preserve">margin of compliance </w:t>
      </w:r>
      <w:r>
        <w:rPr>
          <w:sz w:val="24"/>
          <w:szCs w:val="24"/>
        </w:rPr>
        <w:t xml:space="preserve">has </w:t>
      </w:r>
      <w:r w:rsidR="002C22B6">
        <w:rPr>
          <w:sz w:val="24"/>
          <w:szCs w:val="24"/>
        </w:rPr>
        <w:t>(on average) been</w:t>
      </w:r>
      <w:r>
        <w:rPr>
          <w:sz w:val="24"/>
          <w:szCs w:val="24"/>
        </w:rPr>
        <w:t xml:space="preserve"> equal to or greater than </w:t>
      </w:r>
      <w:r w:rsidR="006B2FD6">
        <w:rPr>
          <w:sz w:val="24"/>
          <w:szCs w:val="24"/>
        </w:rPr>
        <w:t>ninety-five percent (95%)</w:t>
      </w:r>
      <w:r>
        <w:rPr>
          <w:sz w:val="24"/>
          <w:szCs w:val="24"/>
        </w:rPr>
        <w:t xml:space="preserve"> for </w:t>
      </w:r>
      <w:r w:rsidR="002C22B6">
        <w:rPr>
          <w:sz w:val="24"/>
          <w:szCs w:val="24"/>
        </w:rPr>
        <w:t>the volatile organic compound (VOC) and sulfur dioxide (SO</w:t>
      </w:r>
      <w:r w:rsidR="002C22B6" w:rsidRPr="002C22B6">
        <w:rPr>
          <w:sz w:val="24"/>
          <w:szCs w:val="24"/>
          <w:vertAlign w:val="subscript"/>
        </w:rPr>
        <w:t>2</w:t>
      </w:r>
      <w:r w:rsidR="002C22B6">
        <w:rPr>
          <w:sz w:val="24"/>
          <w:szCs w:val="24"/>
        </w:rPr>
        <w:t xml:space="preserve">) pollutants, </w:t>
      </w:r>
      <w:r w:rsidR="006D06EF">
        <w:rPr>
          <w:sz w:val="24"/>
          <w:szCs w:val="24"/>
        </w:rPr>
        <w:t>VFP</w:t>
      </w:r>
      <w:r w:rsidR="002C22B6">
        <w:rPr>
          <w:sz w:val="24"/>
          <w:szCs w:val="24"/>
        </w:rPr>
        <w:t xml:space="preserve"> will no longer be required to </w:t>
      </w:r>
      <w:r w:rsidR="006D06EF">
        <w:rPr>
          <w:sz w:val="24"/>
          <w:szCs w:val="24"/>
        </w:rPr>
        <w:t xml:space="preserve">conduct performance </w:t>
      </w:r>
      <w:r w:rsidR="002C22B6">
        <w:rPr>
          <w:sz w:val="24"/>
          <w:szCs w:val="24"/>
        </w:rPr>
        <w:t>stack test</w:t>
      </w:r>
      <w:r w:rsidR="006D06EF">
        <w:rPr>
          <w:sz w:val="24"/>
          <w:szCs w:val="24"/>
        </w:rPr>
        <w:t>ing</w:t>
      </w:r>
      <w:r w:rsidR="002C22B6">
        <w:rPr>
          <w:sz w:val="24"/>
          <w:szCs w:val="24"/>
        </w:rPr>
        <w:t xml:space="preserve"> in order to demonstrate compliance with the applicable emission limitations.</w:t>
      </w:r>
      <w:r w:rsidR="008A4995">
        <w:rPr>
          <w:sz w:val="24"/>
          <w:szCs w:val="24"/>
        </w:rPr>
        <w:t xml:space="preserve">  The noted reduction </w:t>
      </w:r>
      <w:proofErr w:type="gramStart"/>
      <w:r w:rsidR="008A4995">
        <w:rPr>
          <w:sz w:val="24"/>
          <w:szCs w:val="24"/>
        </w:rPr>
        <w:t>is also being allowed</w:t>
      </w:r>
      <w:proofErr w:type="gramEnd"/>
      <w:r w:rsidR="008A4995">
        <w:rPr>
          <w:sz w:val="24"/>
          <w:szCs w:val="24"/>
        </w:rPr>
        <w:t xml:space="preserve"> given that the fuel source (i.e. uncontaminated wood waste) for Emission Point AA-002 was specifically defined in the Permit to Construct Air Emissions Equipment issued on October 3, 2018.</w:t>
      </w:r>
    </w:p>
    <w:p w14:paraId="4863DDDC" w14:textId="77777777" w:rsidR="002C22B6" w:rsidRDefault="002C22B6" w:rsidP="002C22B6">
      <w:pPr>
        <w:pStyle w:val="ListParagraph"/>
        <w:tabs>
          <w:tab w:val="left" w:pos="720"/>
        </w:tabs>
        <w:rPr>
          <w:sz w:val="24"/>
          <w:szCs w:val="24"/>
        </w:rPr>
      </w:pPr>
    </w:p>
    <w:p w14:paraId="33B525B1" w14:textId="3230E31D" w:rsidR="002C22B6" w:rsidRDefault="002C22B6" w:rsidP="00D65749">
      <w:pPr>
        <w:pStyle w:val="ListParagraph"/>
        <w:numPr>
          <w:ilvl w:val="0"/>
          <w:numId w:val="5"/>
        </w:num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Pr="002C22B6">
        <w:rPr>
          <w:sz w:val="24"/>
          <w:szCs w:val="24"/>
        </w:rPr>
        <w:t xml:space="preserve">the historical margin of compliance has (on average) been equal to or greater than </w:t>
      </w:r>
      <w:r w:rsidR="006D06EF">
        <w:rPr>
          <w:sz w:val="24"/>
          <w:szCs w:val="24"/>
        </w:rPr>
        <w:t>fifty</w:t>
      </w:r>
      <w:r w:rsidRPr="002C22B6">
        <w:rPr>
          <w:sz w:val="24"/>
          <w:szCs w:val="24"/>
        </w:rPr>
        <w:t xml:space="preserve"> percent (</w:t>
      </w:r>
      <w:r w:rsidR="006D06EF">
        <w:rPr>
          <w:sz w:val="24"/>
          <w:szCs w:val="24"/>
        </w:rPr>
        <w:t>50</w:t>
      </w:r>
      <w:r w:rsidRPr="002C22B6">
        <w:rPr>
          <w:sz w:val="24"/>
          <w:szCs w:val="24"/>
        </w:rPr>
        <w:t xml:space="preserve">%) for the </w:t>
      </w:r>
      <w:r w:rsidR="006D06EF">
        <w:rPr>
          <w:sz w:val="24"/>
          <w:szCs w:val="24"/>
        </w:rPr>
        <w:t>particulate matter (PM</w:t>
      </w:r>
      <w:r w:rsidRPr="002C22B6">
        <w:rPr>
          <w:sz w:val="24"/>
          <w:szCs w:val="24"/>
        </w:rPr>
        <w:t xml:space="preserve">) and </w:t>
      </w:r>
      <w:r w:rsidR="006D06EF">
        <w:rPr>
          <w:sz w:val="24"/>
          <w:szCs w:val="24"/>
        </w:rPr>
        <w:t>nitrogen oxides</w:t>
      </w:r>
      <w:r w:rsidRPr="002C22B6">
        <w:rPr>
          <w:sz w:val="24"/>
          <w:szCs w:val="24"/>
        </w:rPr>
        <w:t xml:space="preserve"> (</w:t>
      </w:r>
      <w:r w:rsidR="006D06EF">
        <w:rPr>
          <w:sz w:val="24"/>
          <w:szCs w:val="24"/>
        </w:rPr>
        <w:t>NO</w:t>
      </w:r>
      <w:r w:rsidR="006D06EF" w:rsidRPr="006D06EF">
        <w:rPr>
          <w:sz w:val="24"/>
          <w:szCs w:val="24"/>
          <w:vertAlign w:val="subscript"/>
        </w:rPr>
        <w:t>X</w:t>
      </w:r>
      <w:r w:rsidRPr="002C22B6">
        <w:rPr>
          <w:sz w:val="24"/>
          <w:szCs w:val="24"/>
        </w:rPr>
        <w:t>) pollutants</w:t>
      </w:r>
      <w:r w:rsidR="006D06EF">
        <w:rPr>
          <w:sz w:val="24"/>
          <w:szCs w:val="24"/>
        </w:rPr>
        <w:t>, VFP is now required to demonstrate compliance with the applicable emission limitations via performance stack testing once every five (5) years not to exceed sixty-one (61) after the previously completed test.</w:t>
      </w:r>
    </w:p>
    <w:p w14:paraId="53FCCA63" w14:textId="77777777" w:rsidR="006D06EF" w:rsidRDefault="006D06EF" w:rsidP="006D06EF">
      <w:pPr>
        <w:pStyle w:val="ListParagraph"/>
        <w:tabs>
          <w:tab w:val="left" w:pos="720"/>
        </w:tabs>
        <w:rPr>
          <w:sz w:val="24"/>
          <w:szCs w:val="24"/>
        </w:rPr>
      </w:pPr>
    </w:p>
    <w:p w14:paraId="41FB8618" w14:textId="6029DB92" w:rsidR="006D06EF" w:rsidRDefault="00FE0187" w:rsidP="00D65749">
      <w:pPr>
        <w:pStyle w:val="ListParagraph"/>
        <w:numPr>
          <w:ilvl w:val="0"/>
          <w:numId w:val="5"/>
        </w:num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As it pertains to the frequency for which VFP must demonstrate compliance with the carbon monoxide (CO) emission limitation, an alternative frequency scenario is being incorporate</w:t>
      </w:r>
      <w:r w:rsidR="0030387F">
        <w:rPr>
          <w:sz w:val="24"/>
          <w:szCs w:val="24"/>
        </w:rPr>
        <w:t>d:</w:t>
      </w:r>
    </w:p>
    <w:p w14:paraId="40D96AD9" w14:textId="1DA63EAD" w:rsidR="0030387F" w:rsidRDefault="0030387F" w:rsidP="0030387F">
      <w:pPr>
        <w:tabs>
          <w:tab w:val="left" w:pos="720"/>
        </w:tabs>
        <w:rPr>
          <w:sz w:val="24"/>
          <w:szCs w:val="24"/>
        </w:rPr>
      </w:pPr>
    </w:p>
    <w:p w14:paraId="2D49782D" w14:textId="3EDBD764" w:rsidR="0030387F" w:rsidRPr="0030387F" w:rsidRDefault="0030387F" w:rsidP="0030387F">
      <w:pPr>
        <w:pStyle w:val="ListParagraph"/>
        <w:numPr>
          <w:ilvl w:val="0"/>
          <w:numId w:val="6"/>
        </w:numPr>
        <w:tabs>
          <w:tab w:val="left" w:pos="1080"/>
        </w:tabs>
        <w:ind w:left="1080"/>
        <w:rPr>
          <w:sz w:val="24"/>
          <w:szCs w:val="24"/>
        </w:rPr>
      </w:pPr>
      <w:r w:rsidRPr="0030387F">
        <w:rPr>
          <w:bCs/>
          <w:iCs/>
          <w:sz w:val="24"/>
          <w:szCs w:val="24"/>
        </w:rPr>
        <w:t xml:space="preserve">If the results from the previous performance </w:t>
      </w:r>
      <w:proofErr w:type="gramStart"/>
      <w:r w:rsidRPr="0030387F">
        <w:rPr>
          <w:bCs/>
          <w:iCs/>
          <w:sz w:val="24"/>
          <w:szCs w:val="24"/>
        </w:rPr>
        <w:t>test</w:t>
      </w:r>
      <w:proofErr w:type="gramEnd"/>
      <w:r w:rsidRPr="0030387F">
        <w:rPr>
          <w:bCs/>
          <w:iCs/>
          <w:sz w:val="24"/>
          <w:szCs w:val="24"/>
        </w:rPr>
        <w:t xml:space="preserve"> indicate that CO emissions are greater </w:t>
      </w:r>
      <w:r w:rsidR="00114E75">
        <w:rPr>
          <w:bCs/>
          <w:iCs/>
          <w:sz w:val="24"/>
          <w:szCs w:val="24"/>
        </w:rPr>
        <w:t>than fifty percent (50%) of the emission limitation</w:t>
      </w:r>
      <w:r w:rsidRPr="0030387F">
        <w:rPr>
          <w:bCs/>
          <w:iCs/>
          <w:sz w:val="24"/>
          <w:szCs w:val="24"/>
        </w:rPr>
        <w:t xml:space="preserve"> (based on a 3-hour average), </w:t>
      </w:r>
      <w:r w:rsidR="00114E75">
        <w:rPr>
          <w:bCs/>
          <w:iCs/>
          <w:sz w:val="24"/>
          <w:szCs w:val="24"/>
        </w:rPr>
        <w:t>VFP must</w:t>
      </w:r>
      <w:r w:rsidRPr="0030387F">
        <w:rPr>
          <w:bCs/>
          <w:iCs/>
          <w:sz w:val="24"/>
          <w:szCs w:val="24"/>
        </w:rPr>
        <w:t xml:space="preserve"> conduct performance stack testing thereafter biennially and no later than 25 months afte</w:t>
      </w:r>
      <w:r w:rsidR="00114E75">
        <w:rPr>
          <w:bCs/>
          <w:iCs/>
          <w:sz w:val="24"/>
          <w:szCs w:val="24"/>
        </w:rPr>
        <w:t>r the previously completed test.</w:t>
      </w:r>
    </w:p>
    <w:p w14:paraId="17CD36A0" w14:textId="77777777" w:rsidR="0030387F" w:rsidRPr="0030387F" w:rsidRDefault="0030387F" w:rsidP="0030387F">
      <w:pPr>
        <w:pStyle w:val="ListParagraph"/>
        <w:tabs>
          <w:tab w:val="left" w:pos="1080"/>
        </w:tabs>
        <w:ind w:left="1080"/>
        <w:rPr>
          <w:sz w:val="24"/>
          <w:szCs w:val="24"/>
        </w:rPr>
      </w:pPr>
    </w:p>
    <w:p w14:paraId="0DBF3B3B" w14:textId="53E09DFA" w:rsidR="0030387F" w:rsidRPr="00114E75" w:rsidRDefault="0030387F" w:rsidP="0030387F">
      <w:pPr>
        <w:pStyle w:val="ListParagraph"/>
        <w:numPr>
          <w:ilvl w:val="0"/>
          <w:numId w:val="6"/>
        </w:numPr>
        <w:tabs>
          <w:tab w:val="left" w:pos="1080"/>
        </w:tabs>
        <w:ind w:left="1080"/>
        <w:rPr>
          <w:sz w:val="24"/>
          <w:szCs w:val="24"/>
        </w:rPr>
      </w:pPr>
      <w:r w:rsidRPr="0030387F">
        <w:rPr>
          <w:bCs/>
          <w:iCs/>
          <w:sz w:val="24"/>
          <w:szCs w:val="24"/>
        </w:rPr>
        <w:t xml:space="preserve">If the results from the previous performance test indicate that CO emissions are equal to or less than </w:t>
      </w:r>
      <w:r>
        <w:rPr>
          <w:bCs/>
          <w:iCs/>
          <w:sz w:val="24"/>
          <w:szCs w:val="24"/>
        </w:rPr>
        <w:t>fifty percent (50%) of the emission limitation</w:t>
      </w:r>
      <w:r w:rsidRPr="0030387F">
        <w:rPr>
          <w:bCs/>
          <w:iCs/>
          <w:sz w:val="24"/>
          <w:szCs w:val="24"/>
        </w:rPr>
        <w:t xml:space="preserve"> (based on a 3-hour average)</w:t>
      </w:r>
      <w:r>
        <w:rPr>
          <w:bCs/>
          <w:iCs/>
          <w:sz w:val="24"/>
          <w:szCs w:val="24"/>
        </w:rPr>
        <w:t xml:space="preserve">, VFP </w:t>
      </w:r>
      <w:r w:rsidR="00100176">
        <w:rPr>
          <w:bCs/>
          <w:iCs/>
          <w:sz w:val="24"/>
          <w:szCs w:val="24"/>
        </w:rPr>
        <w:t>shall</w:t>
      </w:r>
      <w:r w:rsidRPr="0030387F">
        <w:rPr>
          <w:bCs/>
          <w:iCs/>
          <w:sz w:val="24"/>
          <w:szCs w:val="24"/>
        </w:rPr>
        <w:t xml:space="preserve"> conduct testing thereafter once every five (5) years and no later than 61 months after the previously completed test</w:t>
      </w:r>
      <w:r>
        <w:rPr>
          <w:bCs/>
          <w:iCs/>
          <w:sz w:val="24"/>
          <w:szCs w:val="24"/>
        </w:rPr>
        <w:t>.</w:t>
      </w:r>
    </w:p>
    <w:p w14:paraId="2CE96D82" w14:textId="490E895E" w:rsidR="00114E75" w:rsidRDefault="00114E75" w:rsidP="00114E75">
      <w:pPr>
        <w:tabs>
          <w:tab w:val="left" w:pos="1080"/>
        </w:tabs>
        <w:rPr>
          <w:sz w:val="24"/>
          <w:szCs w:val="24"/>
        </w:rPr>
      </w:pPr>
    </w:p>
    <w:p w14:paraId="49A5CB86" w14:textId="0855E75A" w:rsidR="00D37435" w:rsidRDefault="00D37435" w:rsidP="00114E75">
      <w:pPr>
        <w:pStyle w:val="ListParagraph"/>
        <w:numPr>
          <w:ilvl w:val="0"/>
          <w:numId w:val="7"/>
        </w:numPr>
        <w:tabs>
          <w:tab w:val="left" w:pos="360"/>
        </w:tabs>
        <w:ind w:left="360"/>
        <w:rPr>
          <w:sz w:val="24"/>
          <w:szCs w:val="24"/>
        </w:rPr>
      </w:pPr>
      <w:r w:rsidRPr="00D37435">
        <w:rPr>
          <w:i/>
          <w:sz w:val="24"/>
          <w:szCs w:val="24"/>
        </w:rPr>
        <w:lastRenderedPageBreak/>
        <w:t xml:space="preserve">Omission of </w:t>
      </w:r>
      <w:r>
        <w:rPr>
          <w:i/>
          <w:sz w:val="24"/>
          <w:szCs w:val="24"/>
        </w:rPr>
        <w:t>calculating emissions to demonstrate compliance with “tons per year” limitations (</w:t>
      </w:r>
      <w:r w:rsidR="00284E69">
        <w:rPr>
          <w:i/>
          <w:sz w:val="24"/>
          <w:szCs w:val="24"/>
        </w:rPr>
        <w:t xml:space="preserve">wood waste-fired </w:t>
      </w:r>
      <w:r>
        <w:rPr>
          <w:i/>
          <w:sz w:val="24"/>
          <w:szCs w:val="24"/>
        </w:rPr>
        <w:t>boiler)</w:t>
      </w:r>
      <w:r>
        <w:rPr>
          <w:sz w:val="24"/>
          <w:szCs w:val="24"/>
        </w:rPr>
        <w:t xml:space="preserve"> – It was determined that the annual </w:t>
      </w:r>
      <w:r w:rsidR="00284E69">
        <w:rPr>
          <w:sz w:val="24"/>
          <w:szCs w:val="24"/>
        </w:rPr>
        <w:t>PM, NO</w:t>
      </w:r>
      <w:r w:rsidR="00284E69" w:rsidRPr="00284E69">
        <w:rPr>
          <w:sz w:val="24"/>
          <w:szCs w:val="24"/>
          <w:vertAlign w:val="subscript"/>
        </w:rPr>
        <w:t>X</w:t>
      </w:r>
      <w:r w:rsidR="00284E69">
        <w:rPr>
          <w:sz w:val="24"/>
          <w:szCs w:val="24"/>
        </w:rPr>
        <w:t>, VOC, CO, and SO</w:t>
      </w:r>
      <w:r w:rsidR="00284E69" w:rsidRPr="00284E69">
        <w:rPr>
          <w:sz w:val="24"/>
          <w:szCs w:val="24"/>
          <w:vertAlign w:val="subscript"/>
        </w:rPr>
        <w:t>2</w:t>
      </w:r>
      <w:r w:rsidR="00284E69">
        <w:rPr>
          <w:sz w:val="24"/>
          <w:szCs w:val="24"/>
        </w:rPr>
        <w:t xml:space="preserve"> </w:t>
      </w:r>
      <w:r>
        <w:rPr>
          <w:sz w:val="24"/>
          <w:szCs w:val="24"/>
        </w:rPr>
        <w:t>emission limitations for the wood waste-fired boiler</w:t>
      </w:r>
      <w:r w:rsidR="00284E69">
        <w:rPr>
          <w:sz w:val="24"/>
          <w:szCs w:val="24"/>
        </w:rPr>
        <w:t xml:space="preserve"> were derived as a result of extrapola</w:t>
      </w:r>
      <w:r w:rsidR="00755320">
        <w:rPr>
          <w:sz w:val="24"/>
          <w:szCs w:val="24"/>
        </w:rPr>
        <w:t>ting</w:t>
      </w:r>
      <w:r w:rsidR="00284E69">
        <w:rPr>
          <w:sz w:val="24"/>
          <w:szCs w:val="24"/>
        </w:rPr>
        <w:t xml:space="preserve"> the respective hourly emission limitations </w:t>
      </w:r>
      <w:r w:rsidR="00755320">
        <w:rPr>
          <w:sz w:val="24"/>
          <w:szCs w:val="24"/>
        </w:rPr>
        <w:t>over</w:t>
      </w:r>
      <w:r w:rsidR="00284E69">
        <w:rPr>
          <w:sz w:val="24"/>
          <w:szCs w:val="24"/>
        </w:rPr>
        <w:t xml:space="preserve"> </w:t>
      </w:r>
      <w:r w:rsidR="00755320">
        <w:rPr>
          <w:sz w:val="24"/>
          <w:szCs w:val="24"/>
        </w:rPr>
        <w:t>8,760 hours of operation</w:t>
      </w:r>
      <w:r w:rsidR="00921CF7">
        <w:rPr>
          <w:sz w:val="24"/>
          <w:szCs w:val="24"/>
        </w:rPr>
        <w:t xml:space="preserve"> (the maximum annual period)</w:t>
      </w:r>
      <w:r w:rsidR="00755320">
        <w:rPr>
          <w:sz w:val="24"/>
          <w:szCs w:val="24"/>
        </w:rPr>
        <w:t xml:space="preserve">.  As such, </w:t>
      </w:r>
      <w:r w:rsidR="00921CF7">
        <w:rPr>
          <w:sz w:val="24"/>
          <w:szCs w:val="24"/>
        </w:rPr>
        <w:t>the MDEQ concluded that requiring</w:t>
      </w:r>
      <w:r w:rsidR="00DA243C">
        <w:rPr>
          <w:sz w:val="24"/>
          <w:szCs w:val="24"/>
        </w:rPr>
        <w:t xml:space="preserve"> VFP to calculate </w:t>
      </w:r>
      <w:r w:rsidR="00921CF7">
        <w:rPr>
          <w:sz w:val="24"/>
          <w:szCs w:val="24"/>
        </w:rPr>
        <w:t xml:space="preserve">/ record </w:t>
      </w:r>
      <w:r w:rsidR="00DA243C">
        <w:rPr>
          <w:sz w:val="24"/>
          <w:szCs w:val="24"/>
        </w:rPr>
        <w:t xml:space="preserve">the respective pollutant emissions (in tons per year) both monthly and on a rolling 12-month period was unnecessary </w:t>
      </w:r>
      <w:r w:rsidR="00921CF7">
        <w:rPr>
          <w:sz w:val="24"/>
          <w:szCs w:val="24"/>
        </w:rPr>
        <w:t>as long as</w:t>
      </w:r>
      <w:r w:rsidR="00DA243C">
        <w:rPr>
          <w:sz w:val="24"/>
          <w:szCs w:val="24"/>
        </w:rPr>
        <w:t xml:space="preserve"> VFP </w:t>
      </w:r>
      <w:r w:rsidR="00921CF7">
        <w:rPr>
          <w:sz w:val="24"/>
          <w:szCs w:val="24"/>
        </w:rPr>
        <w:t>demonstrates compliance with</w:t>
      </w:r>
      <w:r w:rsidR="00DA243C">
        <w:rPr>
          <w:sz w:val="24"/>
          <w:szCs w:val="24"/>
        </w:rPr>
        <w:t xml:space="preserve"> the hourly emission limits (as applicable).</w:t>
      </w:r>
    </w:p>
    <w:p w14:paraId="13AD57DC" w14:textId="77777777" w:rsidR="00D37435" w:rsidRPr="00D37435" w:rsidRDefault="00D37435" w:rsidP="00D3743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4DB8BEE1" w14:textId="3C1340B2" w:rsidR="00114E75" w:rsidRDefault="00114E75" w:rsidP="00114E75">
      <w:pPr>
        <w:pStyle w:val="ListParagraph"/>
        <w:numPr>
          <w:ilvl w:val="0"/>
          <w:numId w:val="7"/>
        </w:numPr>
        <w:tabs>
          <w:tab w:val="left" w:pos="360"/>
        </w:tabs>
        <w:ind w:left="360"/>
        <w:rPr>
          <w:sz w:val="24"/>
          <w:szCs w:val="24"/>
        </w:rPr>
      </w:pPr>
      <w:proofErr w:type="gramStart"/>
      <w:r w:rsidRPr="00114E75">
        <w:rPr>
          <w:i/>
          <w:sz w:val="24"/>
          <w:szCs w:val="24"/>
        </w:rPr>
        <w:t>Inclusion of more stringent sulfur content restriction in fuel oil</w:t>
      </w:r>
      <w:r>
        <w:rPr>
          <w:sz w:val="24"/>
          <w:szCs w:val="24"/>
        </w:rPr>
        <w:t xml:space="preserve"> – T</w:t>
      </w:r>
      <w:r w:rsidR="007237B1">
        <w:rPr>
          <w:sz w:val="24"/>
          <w:szCs w:val="24"/>
        </w:rPr>
        <w:t xml:space="preserve">o ensure that any potential fuel oil-fired </w:t>
      </w:r>
      <w:r>
        <w:rPr>
          <w:sz w:val="24"/>
          <w:szCs w:val="24"/>
        </w:rPr>
        <w:t xml:space="preserve">boiler </w:t>
      </w:r>
      <w:r w:rsidR="00B27B7B">
        <w:rPr>
          <w:sz w:val="24"/>
          <w:szCs w:val="24"/>
        </w:rPr>
        <w:t>operated under the provisions of</w:t>
      </w:r>
      <w:r>
        <w:rPr>
          <w:sz w:val="24"/>
          <w:szCs w:val="24"/>
        </w:rPr>
        <w:t xml:space="preserve"> Emission Point AA-004 meets the temporary boiler definition promulgated by 40 CFR Part 60, Subpart Dc, VFP requested tha</w:t>
      </w:r>
      <w:r w:rsidR="00B27B7B">
        <w:rPr>
          <w:sz w:val="24"/>
          <w:szCs w:val="24"/>
        </w:rPr>
        <w:t>t the existing sulfur content threshold for No. 2 fuel oil be lowered from 0.5% by weight (or 5,000 parts per million) to five hundred (500) parts per million (ppm).</w:t>
      </w:r>
      <w:proofErr w:type="gramEnd"/>
    </w:p>
    <w:p w14:paraId="55333C18" w14:textId="77777777" w:rsidR="007E3FB0" w:rsidRDefault="007E3FB0" w:rsidP="007E3FB0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1C697D61" w14:textId="77777777" w:rsidR="00BB77E5" w:rsidRDefault="007E3FB0" w:rsidP="00114E75">
      <w:pPr>
        <w:pStyle w:val="ListParagraph"/>
        <w:numPr>
          <w:ilvl w:val="0"/>
          <w:numId w:val="7"/>
        </w:numPr>
        <w:tabs>
          <w:tab w:val="left" w:pos="360"/>
        </w:tabs>
        <w:ind w:left="360"/>
        <w:rPr>
          <w:sz w:val="24"/>
          <w:szCs w:val="24"/>
        </w:rPr>
      </w:pPr>
      <w:r w:rsidRPr="007E3FB0">
        <w:rPr>
          <w:i/>
          <w:sz w:val="24"/>
          <w:szCs w:val="24"/>
        </w:rPr>
        <w:t>Removal of stack testing requirements (temporary boilers)</w:t>
      </w:r>
      <w:r>
        <w:rPr>
          <w:sz w:val="24"/>
          <w:szCs w:val="24"/>
        </w:rPr>
        <w:t xml:space="preserve"> – </w:t>
      </w:r>
      <w:r w:rsidR="00C362DA">
        <w:rPr>
          <w:sz w:val="24"/>
          <w:szCs w:val="24"/>
        </w:rPr>
        <w:t xml:space="preserve">VFP determined that by utilizing the applicable AP-42 emission factors for a fuel oil-fired external combustion source (Chapter 1.3) and a natural gas-fired external combustion source (Chapter 1.4) result in </w:t>
      </w:r>
      <w:r w:rsidR="00500944">
        <w:rPr>
          <w:sz w:val="24"/>
          <w:szCs w:val="24"/>
        </w:rPr>
        <w:t xml:space="preserve">potential hourly emissions (in pounds per hour) that are either identical or more stringent to the existing emission limitations for a temporary boiler.  </w:t>
      </w:r>
    </w:p>
    <w:p w14:paraId="56F411F2" w14:textId="77777777" w:rsidR="00BB77E5" w:rsidRDefault="00BB77E5" w:rsidP="00BB77E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47CA6F37" w14:textId="7F6B72F1" w:rsidR="007E3FB0" w:rsidRPr="00114E75" w:rsidRDefault="00500944" w:rsidP="00BB77E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As such, VFP</w:t>
      </w:r>
      <w:r w:rsidR="00BB77E5">
        <w:rPr>
          <w:sz w:val="24"/>
          <w:szCs w:val="24"/>
        </w:rPr>
        <w:t xml:space="preserve"> will </w:t>
      </w:r>
      <w:r>
        <w:rPr>
          <w:sz w:val="24"/>
          <w:szCs w:val="24"/>
        </w:rPr>
        <w:t xml:space="preserve">demonstrate compliance with the annual emission limitations established for a temporary boiler by using the applicable AP-42 factors, and the existing compliance demonstration </w:t>
      </w:r>
      <w:r w:rsidR="00BB77E5">
        <w:rPr>
          <w:sz w:val="24"/>
          <w:szCs w:val="24"/>
        </w:rPr>
        <w:t>requirement [i.e. stack testing after forty-five (45) days of operation] will be removed.</w:t>
      </w:r>
    </w:p>
    <w:p w14:paraId="5738BAEF" w14:textId="77777777" w:rsidR="00145E23" w:rsidRDefault="00145E23" w:rsidP="00596820">
      <w:pPr>
        <w:rPr>
          <w:sz w:val="24"/>
          <w:szCs w:val="24"/>
        </w:rPr>
      </w:pPr>
    </w:p>
    <w:p w14:paraId="516D9080" w14:textId="21B4D8E4" w:rsidR="00BA3BCF" w:rsidRDefault="00F925D0" w:rsidP="00596820">
      <w:pPr>
        <w:rPr>
          <w:sz w:val="24"/>
          <w:szCs w:val="24"/>
        </w:rPr>
      </w:pPr>
      <w:r>
        <w:rPr>
          <w:sz w:val="24"/>
          <w:szCs w:val="24"/>
        </w:rPr>
        <w:t xml:space="preserve">Additionally, the following permitting action </w:t>
      </w:r>
      <w:proofErr w:type="gramStart"/>
      <w:r>
        <w:rPr>
          <w:sz w:val="24"/>
          <w:szCs w:val="24"/>
        </w:rPr>
        <w:t>will be incorporated</w:t>
      </w:r>
      <w:proofErr w:type="gramEnd"/>
      <w:r>
        <w:rPr>
          <w:sz w:val="24"/>
          <w:szCs w:val="24"/>
        </w:rPr>
        <w:t xml:space="preserve"> into this renewed TVOP</w:t>
      </w:r>
      <w:r w:rsidR="00596820">
        <w:rPr>
          <w:sz w:val="24"/>
          <w:szCs w:val="24"/>
        </w:rPr>
        <w:t>:</w:t>
      </w:r>
    </w:p>
    <w:p w14:paraId="246E3311" w14:textId="7551B861" w:rsidR="00596820" w:rsidRDefault="00596820" w:rsidP="00596820">
      <w:pPr>
        <w:rPr>
          <w:sz w:val="24"/>
          <w:szCs w:val="24"/>
        </w:rPr>
      </w:pPr>
    </w:p>
    <w:p w14:paraId="65D0E2C7" w14:textId="43F8D07E" w:rsidR="00E34BB5" w:rsidRDefault="00E34BB5" w:rsidP="00F925D0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</w:t>
      </w:r>
      <w:r w:rsidRPr="00F925D0">
        <w:rPr>
          <w:i/>
          <w:sz w:val="24"/>
          <w:szCs w:val="24"/>
        </w:rPr>
        <w:t>ermit to Constru</w:t>
      </w:r>
      <w:r w:rsidR="00F925D0">
        <w:rPr>
          <w:i/>
          <w:sz w:val="24"/>
          <w:szCs w:val="24"/>
        </w:rPr>
        <w:t>ct Air Emissions Equipment (</w:t>
      </w:r>
      <w:r w:rsidRPr="00F925D0">
        <w:rPr>
          <w:i/>
          <w:sz w:val="24"/>
          <w:szCs w:val="24"/>
        </w:rPr>
        <w:t>issued on October 3, 2018</w:t>
      </w:r>
      <w:r w:rsidR="00F925D0">
        <w:rPr>
          <w:i/>
          <w:sz w:val="24"/>
          <w:szCs w:val="24"/>
        </w:rPr>
        <w:t>)</w:t>
      </w:r>
      <w:r w:rsidR="00F925D0">
        <w:rPr>
          <w:sz w:val="24"/>
          <w:szCs w:val="24"/>
        </w:rPr>
        <w:t xml:space="preserve"> </w:t>
      </w:r>
      <w:r w:rsidR="00793524">
        <w:rPr>
          <w:sz w:val="24"/>
          <w:szCs w:val="24"/>
        </w:rPr>
        <w:t>–</w:t>
      </w:r>
      <w:r w:rsidR="00F925D0">
        <w:rPr>
          <w:sz w:val="24"/>
          <w:szCs w:val="24"/>
        </w:rPr>
        <w:t xml:space="preserve"> </w:t>
      </w:r>
      <w:r w:rsidR="00793524">
        <w:rPr>
          <w:sz w:val="24"/>
          <w:szCs w:val="24"/>
        </w:rPr>
        <w:t xml:space="preserve">VFP was authorized to change the method of operation for the existing twenty-eight (28) lumber drying kilns, which involved drying green softwood lumber (as opposed to only green hardwood lumber).  After certifying completion of this operational change on </w:t>
      </w:r>
      <w:proofErr w:type="gramStart"/>
      <w:r w:rsidR="00793524">
        <w:rPr>
          <w:sz w:val="24"/>
          <w:szCs w:val="24"/>
        </w:rPr>
        <w:t>October,</w:t>
      </w:r>
      <w:proofErr w:type="gramEnd"/>
      <w:r w:rsidR="00793524">
        <w:rPr>
          <w:sz w:val="24"/>
          <w:szCs w:val="24"/>
        </w:rPr>
        <w:t xml:space="preserve"> 8, 2018, VFP became a PSD major source for VOCs.</w:t>
      </w:r>
      <w:r w:rsidR="005459AC">
        <w:rPr>
          <w:sz w:val="24"/>
          <w:szCs w:val="24"/>
        </w:rPr>
        <w:t xml:space="preserve">  In addition to authorizing the operational change, the noted Permit to Construct authorized the following standards:</w:t>
      </w:r>
    </w:p>
    <w:p w14:paraId="3B6340F9" w14:textId="4C168185" w:rsidR="005459AC" w:rsidRDefault="005459AC" w:rsidP="005459AC">
      <w:pPr>
        <w:rPr>
          <w:sz w:val="24"/>
          <w:szCs w:val="24"/>
        </w:rPr>
      </w:pPr>
    </w:p>
    <w:p w14:paraId="16739AD1" w14:textId="6E7802D4" w:rsidR="005459AC" w:rsidRDefault="005459AC" w:rsidP="005459AC">
      <w:pPr>
        <w:pStyle w:val="ListParagraph"/>
        <w:numPr>
          <w:ilvl w:val="0"/>
          <w:numId w:val="8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limitation on both the </w:t>
      </w:r>
      <w:r w:rsidR="00C819AA">
        <w:rPr>
          <w:sz w:val="24"/>
          <w:szCs w:val="24"/>
        </w:rPr>
        <w:t xml:space="preserve">annual </w:t>
      </w:r>
      <w:r w:rsidR="00C819AA" w:rsidRPr="00C819AA">
        <w:rPr>
          <w:sz w:val="24"/>
          <w:szCs w:val="24"/>
        </w:rPr>
        <w:t xml:space="preserve">(based on a rolling 12-month total) </w:t>
      </w:r>
      <w:r w:rsidR="00C819AA">
        <w:rPr>
          <w:sz w:val="24"/>
          <w:szCs w:val="24"/>
        </w:rPr>
        <w:t xml:space="preserve">facility-wide </w:t>
      </w:r>
      <w:r>
        <w:rPr>
          <w:sz w:val="24"/>
          <w:szCs w:val="24"/>
        </w:rPr>
        <w:t>emission of any individual hazardous air pollutant (HAP) to no more than 9.9 tons per year (</w:t>
      </w:r>
      <w:proofErr w:type="spellStart"/>
      <w:r>
        <w:rPr>
          <w:sz w:val="24"/>
          <w:szCs w:val="24"/>
        </w:rPr>
        <w:t>tpy</w:t>
      </w:r>
      <w:proofErr w:type="spellEnd"/>
      <w:r>
        <w:rPr>
          <w:sz w:val="24"/>
          <w:szCs w:val="24"/>
        </w:rPr>
        <w:t xml:space="preserve">) and all HAPs in total to no more than 24.9 </w:t>
      </w:r>
      <w:proofErr w:type="spellStart"/>
      <w:r>
        <w:rPr>
          <w:sz w:val="24"/>
          <w:szCs w:val="24"/>
        </w:rPr>
        <w:t>tpy</w:t>
      </w:r>
      <w:proofErr w:type="spellEnd"/>
      <w:r>
        <w:rPr>
          <w:sz w:val="24"/>
          <w:szCs w:val="24"/>
        </w:rPr>
        <w:t>;</w:t>
      </w:r>
    </w:p>
    <w:p w14:paraId="377A66A3" w14:textId="77777777" w:rsidR="005459AC" w:rsidRDefault="005459AC" w:rsidP="005459AC">
      <w:pPr>
        <w:pStyle w:val="ListParagraph"/>
        <w:rPr>
          <w:sz w:val="24"/>
          <w:szCs w:val="24"/>
        </w:rPr>
      </w:pPr>
    </w:p>
    <w:p w14:paraId="5D987C09" w14:textId="49735DB2" w:rsidR="005459AC" w:rsidRDefault="005459AC" w:rsidP="005459AC">
      <w:pPr>
        <w:pStyle w:val="ListParagraph"/>
        <w:numPr>
          <w:ilvl w:val="0"/>
          <w:numId w:val="8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limitation on the annual </w:t>
      </w:r>
      <w:r w:rsidR="00C819AA" w:rsidRPr="00C819AA">
        <w:rPr>
          <w:sz w:val="24"/>
          <w:szCs w:val="24"/>
        </w:rPr>
        <w:t>(based on a rolling 12-month total)</w:t>
      </w:r>
      <w:r w:rsidR="00C819AA">
        <w:rPr>
          <w:sz w:val="24"/>
          <w:szCs w:val="24"/>
        </w:rPr>
        <w:t xml:space="preserve"> </w:t>
      </w:r>
      <w:r>
        <w:rPr>
          <w:sz w:val="24"/>
          <w:szCs w:val="24"/>
        </w:rPr>
        <w:t>throughput</w:t>
      </w:r>
      <w:r w:rsidR="00C819AA">
        <w:rPr>
          <w:sz w:val="24"/>
          <w:szCs w:val="24"/>
        </w:rPr>
        <w:t xml:space="preserve"> </w:t>
      </w:r>
      <w:r>
        <w:rPr>
          <w:sz w:val="24"/>
          <w:szCs w:val="24"/>
        </w:rPr>
        <w:t>of softwood lumber dried within the collective kilns to no more than 115.0 million board fee</w:t>
      </w:r>
      <w:r w:rsidR="00C819AA">
        <w:rPr>
          <w:sz w:val="24"/>
          <w:szCs w:val="24"/>
        </w:rPr>
        <w:t>t;</w:t>
      </w:r>
    </w:p>
    <w:p w14:paraId="69DE4490" w14:textId="77777777" w:rsidR="00C819AA" w:rsidRDefault="00C819AA" w:rsidP="00C819AA">
      <w:pPr>
        <w:pStyle w:val="ListParagraph"/>
        <w:rPr>
          <w:sz w:val="24"/>
          <w:szCs w:val="24"/>
        </w:rPr>
      </w:pPr>
    </w:p>
    <w:p w14:paraId="1BF13FA2" w14:textId="697F3720" w:rsidR="00C819AA" w:rsidRDefault="00C819AA" w:rsidP="005459AC">
      <w:pPr>
        <w:pStyle w:val="ListParagraph"/>
        <w:numPr>
          <w:ilvl w:val="0"/>
          <w:numId w:val="8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C3D62">
        <w:rPr>
          <w:sz w:val="24"/>
          <w:szCs w:val="24"/>
        </w:rPr>
        <w:t>limitation on the</w:t>
      </w:r>
      <w:r>
        <w:rPr>
          <w:sz w:val="24"/>
          <w:szCs w:val="24"/>
        </w:rPr>
        <w:t xml:space="preserve"> minim</w:t>
      </w:r>
      <w:r w:rsidR="00EC3D62">
        <w:rPr>
          <w:sz w:val="24"/>
          <w:szCs w:val="24"/>
        </w:rPr>
        <w:t>um moisture content of any softwood lumber dried within the kilns to no less than twelve percent (12%).</w:t>
      </w:r>
    </w:p>
    <w:p w14:paraId="18564C7B" w14:textId="77777777" w:rsidR="00C819AA" w:rsidRDefault="00C819AA" w:rsidP="00C819AA">
      <w:pPr>
        <w:pStyle w:val="ListParagraph"/>
        <w:rPr>
          <w:sz w:val="24"/>
          <w:szCs w:val="24"/>
        </w:rPr>
      </w:pPr>
    </w:p>
    <w:p w14:paraId="6E997BA7" w14:textId="1DA64BD3" w:rsidR="00C819AA" w:rsidRPr="005459AC" w:rsidRDefault="00C819AA" w:rsidP="005459AC">
      <w:pPr>
        <w:pStyle w:val="ListParagraph"/>
        <w:numPr>
          <w:ilvl w:val="0"/>
          <w:numId w:val="8"/>
        </w:num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A restriction on the fuel source for the wood waste-fired boiler (i.e. uncontaminated wood waste).</w:t>
      </w:r>
    </w:p>
    <w:p w14:paraId="5277B57F" w14:textId="77777777" w:rsidR="00A90788" w:rsidRPr="00A90788" w:rsidRDefault="00A90788" w:rsidP="00A90788">
      <w:pPr>
        <w:rPr>
          <w:sz w:val="24"/>
          <w:szCs w:val="24"/>
        </w:rPr>
      </w:pPr>
    </w:p>
    <w:p w14:paraId="516D9082" w14:textId="09ECA00F" w:rsidR="00531513" w:rsidRDefault="00AB6090" w:rsidP="00104CE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COMPLIANCE ASSURANCE MONITORING (</w:t>
      </w:r>
      <w:r w:rsidR="00531513">
        <w:rPr>
          <w:sz w:val="24"/>
          <w:szCs w:val="24"/>
          <w:u w:val="single"/>
        </w:rPr>
        <w:t>CAM</w:t>
      </w:r>
      <w:r>
        <w:rPr>
          <w:sz w:val="24"/>
          <w:szCs w:val="24"/>
          <w:u w:val="single"/>
        </w:rPr>
        <w:t>)</w:t>
      </w:r>
      <w:r w:rsidR="00531513">
        <w:rPr>
          <w:sz w:val="24"/>
          <w:szCs w:val="24"/>
          <w:u w:val="single"/>
        </w:rPr>
        <w:t xml:space="preserve"> APPLICABILITY</w:t>
      </w:r>
    </w:p>
    <w:p w14:paraId="55C51FF6" w14:textId="77777777" w:rsidR="00A90788" w:rsidRDefault="00A90788" w:rsidP="00104CE2">
      <w:pPr>
        <w:jc w:val="both"/>
        <w:rPr>
          <w:sz w:val="24"/>
          <w:szCs w:val="24"/>
        </w:rPr>
      </w:pPr>
    </w:p>
    <w:p w14:paraId="516D9083" w14:textId="77777777" w:rsidR="00AD7559" w:rsidRPr="00AD7559" w:rsidRDefault="00AD7559" w:rsidP="00104CE2">
      <w:pPr>
        <w:jc w:val="both"/>
        <w:rPr>
          <w:sz w:val="24"/>
          <w:szCs w:val="24"/>
        </w:rPr>
      </w:pPr>
      <w:proofErr w:type="gramStart"/>
      <w:r w:rsidRPr="00AD7559">
        <w:rPr>
          <w:sz w:val="24"/>
          <w:szCs w:val="24"/>
        </w:rPr>
        <w:t>40</w:t>
      </w:r>
      <w:proofErr w:type="gramEnd"/>
      <w:r w:rsidRPr="00AD7559">
        <w:rPr>
          <w:sz w:val="24"/>
          <w:szCs w:val="24"/>
        </w:rPr>
        <w:t xml:space="preserve"> CFR Part 64 specifies the requirements for </w:t>
      </w:r>
      <w:r w:rsidR="00AB6090">
        <w:rPr>
          <w:sz w:val="24"/>
          <w:szCs w:val="24"/>
        </w:rPr>
        <w:t>CAM</w:t>
      </w:r>
      <w:r w:rsidRPr="00AD7559">
        <w:rPr>
          <w:sz w:val="24"/>
          <w:szCs w:val="24"/>
        </w:rPr>
        <w:t xml:space="preserve">.  The general applicability of this rule can be found in 40 CFR 64.2 and requires a Title V source to comply with the CAM requirements if </w:t>
      </w:r>
      <w:r>
        <w:rPr>
          <w:sz w:val="24"/>
          <w:szCs w:val="24"/>
        </w:rPr>
        <w:t>all three of the</w:t>
      </w:r>
      <w:r w:rsidRPr="00AD7559">
        <w:rPr>
          <w:sz w:val="24"/>
          <w:szCs w:val="24"/>
        </w:rPr>
        <w:t xml:space="preserve"> following criteria are met</w:t>
      </w:r>
      <w:r w:rsidR="006F0510">
        <w:rPr>
          <w:sz w:val="24"/>
          <w:szCs w:val="24"/>
        </w:rPr>
        <w:t xml:space="preserve"> for a pollutant-specific emission unit (PSEU)</w:t>
      </w:r>
      <w:r w:rsidRPr="00AD7559">
        <w:rPr>
          <w:sz w:val="24"/>
          <w:szCs w:val="24"/>
        </w:rPr>
        <w:t>:</w:t>
      </w:r>
    </w:p>
    <w:p w14:paraId="516D9084" w14:textId="77777777" w:rsidR="00AD7559" w:rsidRPr="00AD7559" w:rsidRDefault="00AD7559" w:rsidP="00104CE2">
      <w:pPr>
        <w:jc w:val="both"/>
        <w:rPr>
          <w:sz w:val="24"/>
          <w:szCs w:val="24"/>
        </w:rPr>
      </w:pPr>
    </w:p>
    <w:p w14:paraId="516D9085" w14:textId="515C5B5B" w:rsidR="00AD7559" w:rsidRDefault="00A90788" w:rsidP="00A90788">
      <w:pPr>
        <w:tabs>
          <w:tab w:val="left" w:pos="540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</w:r>
      <w:r w:rsidR="00AD7559" w:rsidRPr="00AD7559">
        <w:rPr>
          <w:sz w:val="24"/>
          <w:szCs w:val="24"/>
        </w:rPr>
        <w:t>The unit is subject to an emission limitation or standard for a regulated air pollutant other than exem</w:t>
      </w:r>
      <w:r w:rsidR="00AD7559">
        <w:rPr>
          <w:sz w:val="24"/>
          <w:szCs w:val="24"/>
        </w:rPr>
        <w:t>ptions under 40 CFR 64.2(b</w:t>
      </w:r>
      <w:proofErr w:type="gramStart"/>
      <w:r w:rsidR="00AD7559">
        <w:rPr>
          <w:sz w:val="24"/>
          <w:szCs w:val="24"/>
        </w:rPr>
        <w:t>)(</w:t>
      </w:r>
      <w:proofErr w:type="gramEnd"/>
      <w:r w:rsidR="00AD7559">
        <w:rPr>
          <w:sz w:val="24"/>
          <w:szCs w:val="24"/>
        </w:rPr>
        <w:t>1);</w:t>
      </w:r>
    </w:p>
    <w:p w14:paraId="773C9054" w14:textId="61CB8E81" w:rsidR="00A90788" w:rsidRPr="00AD7559" w:rsidRDefault="00A90788" w:rsidP="00A90788">
      <w:pPr>
        <w:ind w:left="360"/>
        <w:jc w:val="both"/>
        <w:rPr>
          <w:sz w:val="24"/>
          <w:szCs w:val="24"/>
        </w:rPr>
      </w:pPr>
    </w:p>
    <w:p w14:paraId="516D9086" w14:textId="1B06FDCD" w:rsidR="00AD7559" w:rsidRDefault="00A90788" w:rsidP="00A90788">
      <w:pPr>
        <w:tabs>
          <w:tab w:val="left" w:pos="540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</w:r>
      <w:r w:rsidR="00AD7559" w:rsidRPr="00AD7559">
        <w:rPr>
          <w:sz w:val="24"/>
          <w:szCs w:val="24"/>
        </w:rPr>
        <w:t xml:space="preserve">The unit uses a control device to </w:t>
      </w:r>
      <w:r w:rsidR="00AD7559">
        <w:rPr>
          <w:sz w:val="24"/>
          <w:szCs w:val="24"/>
        </w:rPr>
        <w:t>comply with</w:t>
      </w:r>
      <w:r w:rsidR="00AD7559" w:rsidRPr="00AD7559">
        <w:rPr>
          <w:sz w:val="24"/>
          <w:szCs w:val="24"/>
        </w:rPr>
        <w:t xml:space="preserve"> the standard</w:t>
      </w:r>
      <w:r w:rsidR="00AD7559">
        <w:rPr>
          <w:sz w:val="24"/>
          <w:szCs w:val="24"/>
        </w:rPr>
        <w:t>;</w:t>
      </w:r>
      <w:r w:rsidR="00AD7559" w:rsidRPr="00AD7559">
        <w:rPr>
          <w:sz w:val="24"/>
          <w:szCs w:val="24"/>
        </w:rPr>
        <w:t xml:space="preserve"> and</w:t>
      </w:r>
    </w:p>
    <w:p w14:paraId="09F4BBBF" w14:textId="77777777" w:rsidR="00A90788" w:rsidRPr="00AD7559" w:rsidRDefault="00A90788" w:rsidP="00A90788">
      <w:pPr>
        <w:ind w:left="360"/>
        <w:jc w:val="both"/>
        <w:rPr>
          <w:sz w:val="24"/>
          <w:szCs w:val="24"/>
        </w:rPr>
      </w:pPr>
    </w:p>
    <w:p w14:paraId="516D9087" w14:textId="7A2306C8" w:rsidR="00AD7559" w:rsidRDefault="00A90788" w:rsidP="00A90788">
      <w:pPr>
        <w:tabs>
          <w:tab w:val="left" w:pos="540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z w:val="24"/>
          <w:szCs w:val="24"/>
        </w:rPr>
        <w:tab/>
      </w:r>
      <w:r w:rsidR="00AD7559" w:rsidRPr="00AD7559">
        <w:rPr>
          <w:sz w:val="24"/>
          <w:szCs w:val="24"/>
        </w:rPr>
        <w:t xml:space="preserve">The unit has pre-control emissions exceeding </w:t>
      </w:r>
      <w:r w:rsidR="00C72133">
        <w:rPr>
          <w:sz w:val="24"/>
          <w:szCs w:val="24"/>
        </w:rPr>
        <w:t>Title V major source threshold</w:t>
      </w:r>
      <w:r w:rsidR="00AD7559" w:rsidRPr="00AD7559">
        <w:rPr>
          <w:sz w:val="24"/>
          <w:szCs w:val="24"/>
        </w:rPr>
        <w:t>.</w:t>
      </w:r>
    </w:p>
    <w:p w14:paraId="2CC8291C" w14:textId="3C28F0EC" w:rsidR="0016142B" w:rsidRDefault="0016142B" w:rsidP="00A90788">
      <w:pPr>
        <w:tabs>
          <w:tab w:val="left" w:pos="540"/>
        </w:tabs>
        <w:ind w:left="540" w:hanging="540"/>
        <w:jc w:val="both"/>
        <w:rPr>
          <w:sz w:val="24"/>
          <w:szCs w:val="24"/>
        </w:rPr>
      </w:pPr>
    </w:p>
    <w:p w14:paraId="09AF5FB6" w14:textId="3600692C" w:rsidR="0016142B" w:rsidRPr="00AD7559" w:rsidRDefault="0016142B" w:rsidP="0016142B">
      <w:pPr>
        <w:rPr>
          <w:sz w:val="24"/>
          <w:szCs w:val="24"/>
        </w:rPr>
      </w:pPr>
      <w:r>
        <w:rPr>
          <w:sz w:val="24"/>
          <w:szCs w:val="24"/>
        </w:rPr>
        <w:t xml:space="preserve">Emissions generated from the planer mill area (Emission Point AA-012) </w:t>
      </w:r>
      <w:proofErr w:type="gramStart"/>
      <w:r>
        <w:rPr>
          <w:sz w:val="24"/>
          <w:szCs w:val="24"/>
        </w:rPr>
        <w:t>are routed</w:t>
      </w:r>
      <w:proofErr w:type="gramEnd"/>
      <w:r>
        <w:rPr>
          <w:sz w:val="24"/>
          <w:szCs w:val="24"/>
        </w:rPr>
        <w:t xml:space="preserve"> to the wood waste handling system (which consists of a baghouse and a cyclone).  However, the </w:t>
      </w:r>
      <w:r w:rsidR="00524E5F">
        <w:rPr>
          <w:sz w:val="24"/>
          <w:szCs w:val="24"/>
        </w:rPr>
        <w:t>planer mill area</w:t>
      </w:r>
      <w:r>
        <w:rPr>
          <w:sz w:val="24"/>
          <w:szCs w:val="24"/>
        </w:rPr>
        <w:t xml:space="preserve"> is not subject to any applicable pollutant emission limitation or standard.  Mor</w:t>
      </w:r>
      <w:r w:rsidR="00524E5F">
        <w:rPr>
          <w:sz w:val="24"/>
          <w:szCs w:val="24"/>
        </w:rPr>
        <w:t>eover,</w:t>
      </w:r>
      <w:r>
        <w:rPr>
          <w:sz w:val="24"/>
          <w:szCs w:val="24"/>
        </w:rPr>
        <w:t xml:space="preserve"> particulate matter collected within both the baghouse and the cyclone </w:t>
      </w:r>
      <w:proofErr w:type="gramStart"/>
      <w:r w:rsidR="005459AC">
        <w:rPr>
          <w:sz w:val="24"/>
          <w:szCs w:val="24"/>
        </w:rPr>
        <w:t>are used</w:t>
      </w:r>
      <w:proofErr w:type="gramEnd"/>
      <w:r w:rsidR="005459AC">
        <w:rPr>
          <w:sz w:val="24"/>
          <w:szCs w:val="24"/>
        </w:rPr>
        <w:t xml:space="preserve"> as the</w:t>
      </w:r>
      <w:r w:rsidR="00524E5F">
        <w:rPr>
          <w:sz w:val="24"/>
          <w:szCs w:val="24"/>
        </w:rPr>
        <w:t xml:space="preserve"> fuel source for wood waste-f</w:t>
      </w:r>
      <w:r w:rsidR="005459AC">
        <w:rPr>
          <w:sz w:val="24"/>
          <w:szCs w:val="24"/>
        </w:rPr>
        <w:t>ired boiler, which implies the inherency of the equipment for the operation of the boiler</w:t>
      </w:r>
      <w:r>
        <w:rPr>
          <w:sz w:val="24"/>
          <w:szCs w:val="24"/>
        </w:rPr>
        <w:t>.</w:t>
      </w:r>
      <w:r w:rsidR="00524E5F">
        <w:rPr>
          <w:sz w:val="24"/>
          <w:szCs w:val="24"/>
        </w:rPr>
        <w:t xml:space="preserve">  As a result, </w:t>
      </w:r>
      <w:r w:rsidR="00DA082B">
        <w:rPr>
          <w:sz w:val="24"/>
          <w:szCs w:val="24"/>
        </w:rPr>
        <w:t>CAM does not apply to the</w:t>
      </w:r>
      <w:r w:rsidR="00524E5F">
        <w:rPr>
          <w:sz w:val="24"/>
          <w:szCs w:val="24"/>
        </w:rPr>
        <w:t xml:space="preserve"> planer mill</w:t>
      </w:r>
      <w:r w:rsidR="00DA082B">
        <w:rPr>
          <w:sz w:val="24"/>
          <w:szCs w:val="24"/>
        </w:rPr>
        <w:t xml:space="preserve"> area</w:t>
      </w:r>
      <w:r w:rsidR="00524E5F">
        <w:rPr>
          <w:sz w:val="24"/>
          <w:szCs w:val="24"/>
        </w:rPr>
        <w:t>.</w:t>
      </w:r>
    </w:p>
    <w:p w14:paraId="516D90C7" w14:textId="77777777" w:rsidR="00531513" w:rsidRDefault="00531513" w:rsidP="00531513">
      <w:pPr>
        <w:rPr>
          <w:sz w:val="24"/>
          <w:szCs w:val="24"/>
        </w:rPr>
      </w:pPr>
    </w:p>
    <w:p w14:paraId="516D90C8" w14:textId="77777777" w:rsidR="00531513" w:rsidRDefault="00AE4F70" w:rsidP="00104CE2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NATIONAL EMISSION STANDARDS FOR HAZARDOUS AIR POLLUTANTS (NESHAP) </w:t>
      </w:r>
      <w:r w:rsidR="00531513">
        <w:rPr>
          <w:sz w:val="24"/>
          <w:szCs w:val="24"/>
          <w:u w:val="single"/>
        </w:rPr>
        <w:t>APPLICABILITY</w:t>
      </w:r>
    </w:p>
    <w:p w14:paraId="651FE66A" w14:textId="77777777" w:rsidR="00DA082B" w:rsidRDefault="00DA082B" w:rsidP="00104CE2">
      <w:pPr>
        <w:jc w:val="both"/>
        <w:rPr>
          <w:color w:val="4F81BD" w:themeColor="accent1"/>
          <w:sz w:val="24"/>
          <w:szCs w:val="24"/>
        </w:rPr>
      </w:pPr>
    </w:p>
    <w:p w14:paraId="516D90C9" w14:textId="0CE91DB1" w:rsidR="00531513" w:rsidRDefault="00DA082B" w:rsidP="00DA082B">
      <w:pPr>
        <w:rPr>
          <w:color w:val="4F81BD" w:themeColor="accent1"/>
          <w:sz w:val="24"/>
          <w:szCs w:val="24"/>
        </w:rPr>
      </w:pPr>
      <w:proofErr w:type="gramStart"/>
      <w:r w:rsidRPr="0093172D">
        <w:rPr>
          <w:b/>
          <w:sz w:val="24"/>
          <w:szCs w:val="24"/>
        </w:rPr>
        <w:t>40</w:t>
      </w:r>
      <w:proofErr w:type="gramEnd"/>
      <w:r w:rsidRPr="0093172D">
        <w:rPr>
          <w:b/>
          <w:sz w:val="24"/>
          <w:szCs w:val="24"/>
        </w:rPr>
        <w:t xml:space="preserve"> CFR Part 63, Subpart DDDD – National Emission Standards for Hazardous Air Pollutants: Plywood and Composite Wood Products</w:t>
      </w:r>
      <w:r w:rsidR="00AE4F70" w:rsidRPr="006F0510">
        <w:rPr>
          <w:color w:val="4F81BD" w:themeColor="accent1"/>
          <w:sz w:val="24"/>
          <w:szCs w:val="24"/>
        </w:rPr>
        <w:t xml:space="preserve">  </w:t>
      </w:r>
    </w:p>
    <w:p w14:paraId="6624B9C8" w14:textId="0ABC7F5F" w:rsidR="00DA082B" w:rsidRPr="00DA082B" w:rsidRDefault="00DA082B" w:rsidP="00DA082B">
      <w:pPr>
        <w:rPr>
          <w:sz w:val="24"/>
          <w:szCs w:val="24"/>
        </w:rPr>
      </w:pPr>
    </w:p>
    <w:p w14:paraId="7C6F117C" w14:textId="77777777" w:rsidR="00DA082B" w:rsidRPr="00DA082B" w:rsidRDefault="00DA082B" w:rsidP="00DA082B">
      <w:pPr>
        <w:rPr>
          <w:sz w:val="24"/>
          <w:szCs w:val="24"/>
        </w:rPr>
      </w:pPr>
    </w:p>
    <w:p w14:paraId="40F4370A" w14:textId="2B7AA706" w:rsidR="00DA082B" w:rsidRDefault="00DA082B" w:rsidP="00DA082B">
      <w:pPr>
        <w:rPr>
          <w:sz w:val="24"/>
          <w:szCs w:val="24"/>
        </w:rPr>
      </w:pPr>
      <w:r>
        <w:rPr>
          <w:sz w:val="24"/>
          <w:szCs w:val="24"/>
        </w:rPr>
        <w:t>VFP</w:t>
      </w:r>
      <w:r w:rsidRPr="00DA082B">
        <w:rPr>
          <w:sz w:val="24"/>
          <w:szCs w:val="24"/>
        </w:rPr>
        <w:t xml:space="preserve"> operates </w:t>
      </w:r>
      <w:r>
        <w:rPr>
          <w:sz w:val="24"/>
          <w:szCs w:val="24"/>
        </w:rPr>
        <w:t>twenty-eight (28)</w:t>
      </w:r>
      <w:r w:rsidRPr="00DA082B">
        <w:rPr>
          <w:sz w:val="24"/>
          <w:szCs w:val="24"/>
        </w:rPr>
        <w:t xml:space="preserve"> indirect-fired, steam-heated lumber drying kilns (Emission </w:t>
      </w:r>
      <w:r>
        <w:rPr>
          <w:sz w:val="24"/>
          <w:szCs w:val="24"/>
        </w:rPr>
        <w:t>Points AK-001 through AK-028</w:t>
      </w:r>
      <w:r w:rsidRPr="00DA082B">
        <w:rPr>
          <w:sz w:val="24"/>
          <w:szCs w:val="24"/>
        </w:rPr>
        <w:t xml:space="preserve">) to produce kiln-dried softwood </w:t>
      </w:r>
      <w:r>
        <w:rPr>
          <w:sz w:val="24"/>
          <w:szCs w:val="24"/>
        </w:rPr>
        <w:t xml:space="preserve">and hardwood </w:t>
      </w:r>
      <w:r w:rsidRPr="00DA082B">
        <w:rPr>
          <w:sz w:val="24"/>
          <w:szCs w:val="24"/>
        </w:rPr>
        <w:t xml:space="preserve">lumber.  While kiln-dried lumber </w:t>
      </w:r>
      <w:proofErr w:type="gramStart"/>
      <w:r w:rsidRPr="00DA082B">
        <w:rPr>
          <w:sz w:val="24"/>
          <w:szCs w:val="24"/>
        </w:rPr>
        <w:t xml:space="preserve">is </w:t>
      </w:r>
      <w:r w:rsidR="00D543BA">
        <w:rPr>
          <w:sz w:val="24"/>
          <w:szCs w:val="24"/>
        </w:rPr>
        <w:t>considered</w:t>
      </w:r>
      <w:proofErr w:type="gramEnd"/>
      <w:r w:rsidRPr="00DA082B">
        <w:rPr>
          <w:sz w:val="24"/>
          <w:szCs w:val="24"/>
        </w:rPr>
        <w:t xml:space="preserve"> a “</w:t>
      </w:r>
      <w:r w:rsidRPr="00DA082B">
        <w:rPr>
          <w:i/>
          <w:sz w:val="24"/>
          <w:szCs w:val="24"/>
        </w:rPr>
        <w:t>composite wood product</w:t>
      </w:r>
      <w:r w:rsidRPr="00DA082B">
        <w:rPr>
          <w:sz w:val="24"/>
          <w:szCs w:val="24"/>
        </w:rPr>
        <w:t xml:space="preserve">” </w:t>
      </w:r>
      <w:r w:rsidR="00D543BA">
        <w:rPr>
          <w:sz w:val="24"/>
          <w:szCs w:val="24"/>
        </w:rPr>
        <w:t>by the subpart</w:t>
      </w:r>
      <w:r w:rsidRPr="00DA082B">
        <w:rPr>
          <w:sz w:val="24"/>
          <w:szCs w:val="24"/>
        </w:rPr>
        <w:t xml:space="preserve">, the facility must </w:t>
      </w:r>
      <w:r w:rsidR="00D543BA">
        <w:rPr>
          <w:sz w:val="24"/>
          <w:szCs w:val="24"/>
        </w:rPr>
        <w:t xml:space="preserve">also </w:t>
      </w:r>
      <w:r w:rsidRPr="00DA082B">
        <w:rPr>
          <w:sz w:val="24"/>
          <w:szCs w:val="24"/>
        </w:rPr>
        <w:t xml:space="preserve">be a major source of HAP emissions.  </w:t>
      </w:r>
      <w:r w:rsidR="00EC3D62">
        <w:rPr>
          <w:sz w:val="24"/>
          <w:szCs w:val="24"/>
        </w:rPr>
        <w:t xml:space="preserve">As limitations on the emission of HAPs </w:t>
      </w:r>
      <w:proofErr w:type="gramStart"/>
      <w:r w:rsidR="00EC3D62">
        <w:rPr>
          <w:sz w:val="24"/>
          <w:szCs w:val="24"/>
        </w:rPr>
        <w:t>were established</w:t>
      </w:r>
      <w:proofErr w:type="gramEnd"/>
      <w:r w:rsidR="00EC3D62">
        <w:rPr>
          <w:sz w:val="24"/>
          <w:szCs w:val="24"/>
        </w:rPr>
        <w:t xml:space="preserve"> in the aforementioned Permit to Construct, VFP is an “</w:t>
      </w:r>
      <w:r w:rsidR="00EC3D62" w:rsidRPr="00EC3D62">
        <w:rPr>
          <w:i/>
          <w:sz w:val="24"/>
          <w:szCs w:val="24"/>
        </w:rPr>
        <w:t>area source</w:t>
      </w:r>
      <w:r w:rsidR="00EC3D62">
        <w:rPr>
          <w:sz w:val="24"/>
          <w:szCs w:val="24"/>
        </w:rPr>
        <w:t>” of HAPs.  As such</w:t>
      </w:r>
      <w:r w:rsidRPr="00DA082B">
        <w:rPr>
          <w:sz w:val="24"/>
          <w:szCs w:val="24"/>
        </w:rPr>
        <w:t xml:space="preserve">, the facility is </w:t>
      </w:r>
      <w:r w:rsidRPr="00DA082B">
        <w:rPr>
          <w:b/>
          <w:sz w:val="24"/>
          <w:szCs w:val="24"/>
          <w:u w:val="single"/>
        </w:rPr>
        <w:t>not</w:t>
      </w:r>
      <w:r w:rsidRPr="00DA082B">
        <w:rPr>
          <w:sz w:val="24"/>
          <w:szCs w:val="24"/>
        </w:rPr>
        <w:t xml:space="preserve"> subject to requirements found in Subpart DDDD.</w:t>
      </w:r>
    </w:p>
    <w:p w14:paraId="7302DB32" w14:textId="3751A6BD" w:rsidR="00D543BA" w:rsidRDefault="00D543BA" w:rsidP="00DA082B">
      <w:pPr>
        <w:rPr>
          <w:sz w:val="24"/>
          <w:szCs w:val="24"/>
        </w:rPr>
      </w:pPr>
    </w:p>
    <w:p w14:paraId="57FD8386" w14:textId="77777777" w:rsidR="00D543BA" w:rsidRDefault="00D543BA" w:rsidP="00D543BA">
      <w:pPr>
        <w:pStyle w:val="NoSpacing"/>
        <w:rPr>
          <w:b/>
          <w:bCs/>
          <w:sz w:val="24"/>
          <w:szCs w:val="24"/>
        </w:rPr>
      </w:pPr>
      <w:proofErr w:type="gramStart"/>
      <w:r w:rsidRPr="00AA6A2F">
        <w:rPr>
          <w:b/>
          <w:bCs/>
          <w:sz w:val="24"/>
          <w:szCs w:val="24"/>
        </w:rPr>
        <w:t>40</w:t>
      </w:r>
      <w:proofErr w:type="gramEnd"/>
      <w:r w:rsidRPr="00AA6A2F">
        <w:rPr>
          <w:b/>
          <w:bCs/>
          <w:sz w:val="24"/>
          <w:szCs w:val="24"/>
        </w:rPr>
        <w:t xml:space="preserve"> CFR Part 63, Subpart JJJJJJ – National Emission Standards for Hazardous Air Pollutants for Industrial, Commercial, and Institutional Boilers Area Sources</w:t>
      </w:r>
    </w:p>
    <w:p w14:paraId="33AB9BD9" w14:textId="77777777" w:rsidR="00D543BA" w:rsidRDefault="00D543BA" w:rsidP="00D543BA">
      <w:pPr>
        <w:pStyle w:val="NoSpacing"/>
        <w:rPr>
          <w:b/>
          <w:bCs/>
          <w:sz w:val="24"/>
          <w:szCs w:val="24"/>
        </w:rPr>
      </w:pPr>
    </w:p>
    <w:p w14:paraId="52766033" w14:textId="29C5E8C3" w:rsidR="00D543BA" w:rsidRDefault="00D543BA" w:rsidP="00D543BA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VFP operates one (1) wood waste-fired boiler (Emission Point AA-002).   Therefore, the facility is subject to applicable requirements found within Subpart JJJJJJ.  However, since Emission Point AA-002 </w:t>
      </w:r>
      <w:proofErr w:type="gramStart"/>
      <w:r>
        <w:rPr>
          <w:bCs/>
          <w:sz w:val="24"/>
          <w:szCs w:val="24"/>
        </w:rPr>
        <w:t>was installed</w:t>
      </w:r>
      <w:proofErr w:type="gramEnd"/>
      <w:r>
        <w:rPr>
          <w:bCs/>
          <w:sz w:val="24"/>
          <w:szCs w:val="24"/>
        </w:rPr>
        <w:t xml:space="preserve"> before the applicable date of June 4, 2010, this boiler is considered “</w:t>
      </w:r>
      <w:r w:rsidRPr="00AA6A2F">
        <w:rPr>
          <w:bCs/>
          <w:i/>
          <w:sz w:val="24"/>
          <w:szCs w:val="24"/>
        </w:rPr>
        <w:t>existing source</w:t>
      </w:r>
      <w:r>
        <w:rPr>
          <w:bCs/>
          <w:sz w:val="24"/>
          <w:szCs w:val="24"/>
        </w:rPr>
        <w:t>” and is only subject to applicable work practice standards (i.e. routine performance tune-ups).</w:t>
      </w:r>
    </w:p>
    <w:p w14:paraId="287F574F" w14:textId="7059ADD6" w:rsidR="009B16DD" w:rsidRDefault="009B16DD" w:rsidP="00D543BA">
      <w:pPr>
        <w:pStyle w:val="NoSpacing"/>
        <w:rPr>
          <w:bCs/>
          <w:sz w:val="24"/>
          <w:szCs w:val="24"/>
        </w:rPr>
      </w:pPr>
    </w:p>
    <w:p w14:paraId="3B6EEC38" w14:textId="6B2A5332" w:rsidR="009B16DD" w:rsidRDefault="009B16DD" w:rsidP="00D543BA">
      <w:pPr>
        <w:pStyle w:val="NoSpacing"/>
        <w:rPr>
          <w:bCs/>
          <w:sz w:val="24"/>
          <w:szCs w:val="24"/>
        </w:rPr>
      </w:pPr>
      <w:r w:rsidRPr="009B16DD">
        <w:rPr>
          <w:bCs/>
          <w:sz w:val="24"/>
          <w:szCs w:val="24"/>
        </w:rPr>
        <w:lastRenderedPageBreak/>
        <w:t>VFP also has authorization to operate up to two (2) temporary boilers (Emission Point AA-004) during periods of shutdown for the primary wood waste-fired boiler (Emission Point AA-002).</w:t>
      </w:r>
      <w:r w:rsidR="002E3B96">
        <w:rPr>
          <w:bCs/>
          <w:sz w:val="24"/>
          <w:szCs w:val="24"/>
        </w:rPr>
        <w:t xml:space="preserve">  However, </w:t>
      </w:r>
      <w:r w:rsidR="00CE0C8F">
        <w:rPr>
          <w:bCs/>
          <w:sz w:val="24"/>
          <w:szCs w:val="24"/>
        </w:rPr>
        <w:t xml:space="preserve">as defined by the subpart, </w:t>
      </w:r>
      <w:r w:rsidR="002E3B96">
        <w:rPr>
          <w:bCs/>
          <w:sz w:val="24"/>
          <w:szCs w:val="24"/>
        </w:rPr>
        <w:t>a temporary boiler is not subject to applicable requirements found in Subpart JJJJJJ as long as the boiler complies with an on-site time restriction (no more than 12 consecutive months).</w:t>
      </w:r>
      <w:r w:rsidR="00100176">
        <w:rPr>
          <w:bCs/>
          <w:sz w:val="24"/>
          <w:szCs w:val="24"/>
        </w:rPr>
        <w:t xml:space="preserve">  </w:t>
      </w:r>
      <w:r w:rsidR="008E604F" w:rsidRPr="008E604F">
        <w:rPr>
          <w:bCs/>
          <w:sz w:val="24"/>
          <w:szCs w:val="24"/>
        </w:rPr>
        <w:t>The draft permit contains a condition that the boiler</w:t>
      </w:r>
      <w:r w:rsidR="008E604F">
        <w:rPr>
          <w:bCs/>
          <w:sz w:val="24"/>
          <w:szCs w:val="24"/>
        </w:rPr>
        <w:t>(</w:t>
      </w:r>
      <w:r w:rsidR="008E604F" w:rsidRPr="008E604F">
        <w:rPr>
          <w:bCs/>
          <w:sz w:val="24"/>
          <w:szCs w:val="24"/>
        </w:rPr>
        <w:t>s</w:t>
      </w:r>
      <w:r w:rsidR="008E604F">
        <w:rPr>
          <w:bCs/>
          <w:sz w:val="24"/>
          <w:szCs w:val="24"/>
        </w:rPr>
        <w:t>)</w:t>
      </w:r>
      <w:r w:rsidR="008E604F" w:rsidRPr="008E604F">
        <w:rPr>
          <w:bCs/>
          <w:sz w:val="24"/>
          <w:szCs w:val="24"/>
        </w:rPr>
        <w:t xml:space="preserve"> </w:t>
      </w:r>
      <w:r w:rsidR="008E604F">
        <w:rPr>
          <w:bCs/>
          <w:sz w:val="24"/>
          <w:szCs w:val="24"/>
        </w:rPr>
        <w:t>must</w:t>
      </w:r>
      <w:r w:rsidR="008E604F" w:rsidRPr="008E604F">
        <w:rPr>
          <w:bCs/>
          <w:sz w:val="24"/>
          <w:szCs w:val="24"/>
        </w:rPr>
        <w:t xml:space="preserve"> meet the definition of temporary boiler as defined by NSPS </w:t>
      </w:r>
      <w:r w:rsidR="008E604F">
        <w:rPr>
          <w:bCs/>
          <w:sz w:val="24"/>
          <w:szCs w:val="24"/>
        </w:rPr>
        <w:t xml:space="preserve">Subpart </w:t>
      </w:r>
      <w:r w:rsidR="008E604F" w:rsidRPr="008E604F">
        <w:rPr>
          <w:bCs/>
          <w:sz w:val="24"/>
          <w:szCs w:val="24"/>
        </w:rPr>
        <w:t xml:space="preserve">Dc, which </w:t>
      </w:r>
      <w:r w:rsidR="008E604F">
        <w:rPr>
          <w:bCs/>
          <w:sz w:val="24"/>
          <w:szCs w:val="24"/>
        </w:rPr>
        <w:t xml:space="preserve">will </w:t>
      </w:r>
      <w:r w:rsidR="008E604F" w:rsidRPr="008E604F">
        <w:rPr>
          <w:bCs/>
          <w:sz w:val="24"/>
          <w:szCs w:val="24"/>
        </w:rPr>
        <w:t>ensure the boiler</w:t>
      </w:r>
      <w:r w:rsidR="008E604F">
        <w:rPr>
          <w:bCs/>
          <w:sz w:val="24"/>
          <w:szCs w:val="24"/>
        </w:rPr>
        <w:t>(</w:t>
      </w:r>
      <w:r w:rsidR="008E604F" w:rsidRPr="008E604F">
        <w:rPr>
          <w:bCs/>
          <w:sz w:val="24"/>
          <w:szCs w:val="24"/>
        </w:rPr>
        <w:t>s</w:t>
      </w:r>
      <w:r w:rsidR="008E604F">
        <w:rPr>
          <w:bCs/>
          <w:sz w:val="24"/>
          <w:szCs w:val="24"/>
        </w:rPr>
        <w:t>)</w:t>
      </w:r>
      <w:r w:rsidR="008E604F" w:rsidRPr="008E604F">
        <w:rPr>
          <w:bCs/>
          <w:sz w:val="24"/>
          <w:szCs w:val="24"/>
        </w:rPr>
        <w:t xml:space="preserve"> meet</w:t>
      </w:r>
      <w:r w:rsidR="008E604F">
        <w:rPr>
          <w:bCs/>
          <w:sz w:val="24"/>
          <w:szCs w:val="24"/>
        </w:rPr>
        <w:t>s</w:t>
      </w:r>
      <w:r w:rsidR="008E604F" w:rsidRPr="008E604F">
        <w:rPr>
          <w:bCs/>
          <w:sz w:val="24"/>
          <w:szCs w:val="24"/>
        </w:rPr>
        <w:t xml:space="preserve"> the definition of </w:t>
      </w:r>
      <w:r w:rsidR="008E604F">
        <w:rPr>
          <w:bCs/>
          <w:sz w:val="24"/>
          <w:szCs w:val="24"/>
        </w:rPr>
        <w:t>a “</w:t>
      </w:r>
      <w:r w:rsidR="008E604F" w:rsidRPr="008E604F">
        <w:rPr>
          <w:bCs/>
          <w:i/>
          <w:sz w:val="24"/>
          <w:szCs w:val="24"/>
        </w:rPr>
        <w:t>temporary boiler</w:t>
      </w:r>
      <w:r w:rsidR="008E604F">
        <w:rPr>
          <w:bCs/>
          <w:sz w:val="24"/>
          <w:szCs w:val="24"/>
        </w:rPr>
        <w:t>”</w:t>
      </w:r>
      <w:r w:rsidR="008E604F" w:rsidRPr="008E604F">
        <w:rPr>
          <w:bCs/>
          <w:sz w:val="24"/>
          <w:szCs w:val="24"/>
        </w:rPr>
        <w:t xml:space="preserve"> under this </w:t>
      </w:r>
      <w:r w:rsidR="008E604F">
        <w:rPr>
          <w:bCs/>
          <w:sz w:val="24"/>
          <w:szCs w:val="24"/>
        </w:rPr>
        <w:t>NESHAP</w:t>
      </w:r>
      <w:r w:rsidR="008E604F" w:rsidRPr="008E604F">
        <w:rPr>
          <w:bCs/>
          <w:sz w:val="24"/>
          <w:szCs w:val="24"/>
        </w:rPr>
        <w:t>.</w:t>
      </w:r>
    </w:p>
    <w:p w14:paraId="2F197B70" w14:textId="4E6F974C" w:rsidR="00D543BA" w:rsidRDefault="00D543BA" w:rsidP="00D543BA">
      <w:pPr>
        <w:pStyle w:val="NoSpacing"/>
        <w:rPr>
          <w:bCs/>
          <w:sz w:val="24"/>
          <w:szCs w:val="24"/>
        </w:rPr>
      </w:pPr>
    </w:p>
    <w:p w14:paraId="2A0C1A53" w14:textId="77777777" w:rsidR="00100176" w:rsidRDefault="00100176" w:rsidP="00D543BA">
      <w:pPr>
        <w:pStyle w:val="NoSpacing"/>
        <w:rPr>
          <w:bCs/>
          <w:sz w:val="24"/>
          <w:szCs w:val="24"/>
        </w:rPr>
      </w:pPr>
    </w:p>
    <w:p w14:paraId="516D90CB" w14:textId="77777777" w:rsidR="00AE4F70" w:rsidRDefault="00AE4F70" w:rsidP="00104CE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SOURCE PERFORMANCE STANDARDS (NSPS) APPLICABILITY</w:t>
      </w:r>
    </w:p>
    <w:p w14:paraId="516D90CC" w14:textId="502BF6ED" w:rsidR="00AE4F70" w:rsidRDefault="00AE4F70" w:rsidP="00104CE2">
      <w:pPr>
        <w:jc w:val="both"/>
        <w:rPr>
          <w:color w:val="4F81BD" w:themeColor="accent1"/>
          <w:sz w:val="24"/>
          <w:szCs w:val="24"/>
        </w:rPr>
      </w:pPr>
    </w:p>
    <w:p w14:paraId="0CE6B44D" w14:textId="77777777" w:rsidR="00D543BA" w:rsidRPr="00D543BA" w:rsidRDefault="00D543BA" w:rsidP="00D543BA">
      <w:pPr>
        <w:rPr>
          <w:b/>
          <w:bCs/>
          <w:sz w:val="24"/>
          <w:szCs w:val="24"/>
        </w:rPr>
      </w:pPr>
      <w:proofErr w:type="gramStart"/>
      <w:r w:rsidRPr="00D543BA">
        <w:rPr>
          <w:b/>
          <w:bCs/>
          <w:sz w:val="24"/>
          <w:szCs w:val="24"/>
        </w:rPr>
        <w:t>40</w:t>
      </w:r>
      <w:proofErr w:type="gramEnd"/>
      <w:r w:rsidRPr="00D543BA">
        <w:rPr>
          <w:b/>
          <w:bCs/>
          <w:sz w:val="24"/>
          <w:szCs w:val="24"/>
        </w:rPr>
        <w:t xml:space="preserve"> CFR Part 60, Subpart Dc – Standards of Performance for Small Industrial-Commercial-Institutional Steam Generating Units</w:t>
      </w:r>
    </w:p>
    <w:p w14:paraId="099FABDE" w14:textId="77777777" w:rsidR="00D543BA" w:rsidRPr="00D543BA" w:rsidRDefault="00D543BA" w:rsidP="00D543BA">
      <w:pPr>
        <w:jc w:val="both"/>
        <w:rPr>
          <w:b/>
          <w:bCs/>
          <w:sz w:val="24"/>
          <w:szCs w:val="24"/>
        </w:rPr>
      </w:pPr>
    </w:p>
    <w:p w14:paraId="41ACB7AA" w14:textId="246FE33F" w:rsidR="00D543BA" w:rsidRDefault="00C340CC" w:rsidP="00D543BA">
      <w:pPr>
        <w:rPr>
          <w:bCs/>
          <w:sz w:val="24"/>
          <w:szCs w:val="24"/>
        </w:rPr>
      </w:pPr>
      <w:r>
        <w:rPr>
          <w:sz w:val="24"/>
          <w:szCs w:val="24"/>
        </w:rPr>
        <w:t>VFP</w:t>
      </w:r>
      <w:r w:rsidR="00D543BA" w:rsidRPr="00D543BA">
        <w:rPr>
          <w:sz w:val="24"/>
          <w:szCs w:val="24"/>
        </w:rPr>
        <w:t xml:space="preserve"> operates </w:t>
      </w:r>
      <w:r>
        <w:rPr>
          <w:sz w:val="24"/>
          <w:szCs w:val="24"/>
        </w:rPr>
        <w:t>one (1) wood waste-fired boiler</w:t>
      </w:r>
      <w:r w:rsidR="00D543BA" w:rsidRPr="00D543BA">
        <w:rPr>
          <w:sz w:val="24"/>
          <w:szCs w:val="24"/>
        </w:rPr>
        <w:t xml:space="preserve"> (Emission Point A</w:t>
      </w:r>
      <w:r>
        <w:rPr>
          <w:sz w:val="24"/>
          <w:szCs w:val="24"/>
        </w:rPr>
        <w:t>A</w:t>
      </w:r>
      <w:r w:rsidR="00D543BA" w:rsidRPr="00D543BA">
        <w:rPr>
          <w:sz w:val="24"/>
          <w:szCs w:val="24"/>
        </w:rPr>
        <w:t>-00</w:t>
      </w:r>
      <w:r>
        <w:rPr>
          <w:sz w:val="24"/>
          <w:szCs w:val="24"/>
        </w:rPr>
        <w:t>2</w:t>
      </w:r>
      <w:r w:rsidR="00D543BA" w:rsidRPr="00D543BA">
        <w:rPr>
          <w:sz w:val="24"/>
          <w:szCs w:val="24"/>
        </w:rPr>
        <w:t xml:space="preserve">) that </w:t>
      </w:r>
      <w:r>
        <w:rPr>
          <w:sz w:val="24"/>
          <w:szCs w:val="24"/>
        </w:rPr>
        <w:t>has a maximum heat input capacity</w:t>
      </w:r>
      <w:r w:rsidR="00D543BA" w:rsidRPr="00D543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equal to / </w:t>
      </w:r>
      <w:r w:rsidR="00D543BA" w:rsidRPr="00D543BA">
        <w:rPr>
          <w:sz w:val="24"/>
          <w:szCs w:val="24"/>
        </w:rPr>
        <w:t xml:space="preserve">greater than 10 MMBTU </w:t>
      </w:r>
      <w:r>
        <w:rPr>
          <w:sz w:val="24"/>
          <w:szCs w:val="24"/>
        </w:rPr>
        <w:t>per</w:t>
      </w:r>
      <w:r w:rsidR="00D543BA" w:rsidRPr="00D543BA">
        <w:rPr>
          <w:sz w:val="24"/>
          <w:szCs w:val="24"/>
        </w:rPr>
        <w:t xml:space="preserve"> hour but less than 100 MMBTU </w:t>
      </w:r>
      <w:r>
        <w:rPr>
          <w:sz w:val="24"/>
          <w:szCs w:val="24"/>
        </w:rPr>
        <w:t>per</w:t>
      </w:r>
      <w:r w:rsidR="00D543BA" w:rsidRPr="00D543BA">
        <w:rPr>
          <w:sz w:val="24"/>
          <w:szCs w:val="24"/>
        </w:rPr>
        <w:t xml:space="preserve"> hour.  </w:t>
      </w:r>
      <w:r>
        <w:rPr>
          <w:sz w:val="24"/>
          <w:szCs w:val="24"/>
        </w:rPr>
        <w:t>However, the</w:t>
      </w:r>
      <w:r w:rsidR="00D543BA" w:rsidRPr="00D543BA">
        <w:rPr>
          <w:sz w:val="24"/>
          <w:szCs w:val="24"/>
        </w:rPr>
        <w:t xml:space="preserve"> boiler </w:t>
      </w:r>
      <w:proofErr w:type="gramStart"/>
      <w:r w:rsidR="00D543BA" w:rsidRPr="00D543BA">
        <w:rPr>
          <w:sz w:val="24"/>
          <w:szCs w:val="24"/>
        </w:rPr>
        <w:t>was installed</w:t>
      </w:r>
      <w:proofErr w:type="gramEnd"/>
      <w:r w:rsidR="00D543BA" w:rsidRPr="00D543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before </w:t>
      </w:r>
      <w:r w:rsidR="00D543BA" w:rsidRPr="00D543BA">
        <w:rPr>
          <w:sz w:val="24"/>
          <w:szCs w:val="24"/>
        </w:rPr>
        <w:t>t</w:t>
      </w:r>
      <w:r>
        <w:rPr>
          <w:sz w:val="24"/>
          <w:szCs w:val="24"/>
        </w:rPr>
        <w:t>he applicable</w:t>
      </w:r>
      <w:r w:rsidR="00D543BA" w:rsidRPr="00D543BA">
        <w:rPr>
          <w:sz w:val="24"/>
          <w:szCs w:val="24"/>
        </w:rPr>
        <w:t xml:space="preserve"> date of June 9, 1989</w:t>
      </w:r>
      <w:r>
        <w:rPr>
          <w:sz w:val="24"/>
          <w:szCs w:val="24"/>
        </w:rPr>
        <w:t xml:space="preserve"> (i.e. construction commenced in November 1988)</w:t>
      </w:r>
      <w:r w:rsidR="00D543BA" w:rsidRPr="00D543BA">
        <w:rPr>
          <w:sz w:val="24"/>
          <w:szCs w:val="24"/>
        </w:rPr>
        <w:t xml:space="preserve">.  </w:t>
      </w:r>
      <w:r w:rsidR="00D543BA" w:rsidRPr="00D543BA">
        <w:rPr>
          <w:bCs/>
          <w:sz w:val="24"/>
          <w:szCs w:val="24"/>
        </w:rPr>
        <w:t xml:space="preserve">As such, </w:t>
      </w:r>
      <w:r>
        <w:rPr>
          <w:bCs/>
          <w:sz w:val="24"/>
          <w:szCs w:val="24"/>
        </w:rPr>
        <w:t>VFP</w:t>
      </w:r>
      <w:r w:rsidR="00D543BA" w:rsidRPr="00D543BA">
        <w:rPr>
          <w:bCs/>
          <w:sz w:val="24"/>
          <w:szCs w:val="24"/>
        </w:rPr>
        <w:t xml:space="preserve"> is </w:t>
      </w:r>
      <w:r w:rsidRPr="00C340CC">
        <w:rPr>
          <w:b/>
          <w:bCs/>
          <w:sz w:val="24"/>
          <w:szCs w:val="24"/>
          <w:u w:val="single"/>
        </w:rPr>
        <w:t>not</w:t>
      </w:r>
      <w:r>
        <w:rPr>
          <w:bCs/>
          <w:sz w:val="24"/>
          <w:szCs w:val="24"/>
        </w:rPr>
        <w:t xml:space="preserve"> </w:t>
      </w:r>
      <w:r w:rsidR="00D543BA" w:rsidRPr="00D543BA">
        <w:rPr>
          <w:bCs/>
          <w:sz w:val="24"/>
          <w:szCs w:val="24"/>
        </w:rPr>
        <w:t>subject to with applicable requirements found in Subpart Dc.</w:t>
      </w:r>
    </w:p>
    <w:p w14:paraId="736DB882" w14:textId="6AE87DF3" w:rsidR="00C340CC" w:rsidRDefault="00C340CC" w:rsidP="00D543BA">
      <w:pPr>
        <w:rPr>
          <w:bCs/>
          <w:sz w:val="24"/>
          <w:szCs w:val="24"/>
        </w:rPr>
      </w:pPr>
    </w:p>
    <w:p w14:paraId="7434B98D" w14:textId="0BB2636E" w:rsidR="00C340CC" w:rsidRPr="00D543BA" w:rsidRDefault="00CE0C8F" w:rsidP="00D543BA">
      <w:pPr>
        <w:rPr>
          <w:sz w:val="24"/>
          <w:szCs w:val="24"/>
        </w:rPr>
      </w:pPr>
      <w:r>
        <w:rPr>
          <w:bCs/>
          <w:sz w:val="24"/>
          <w:szCs w:val="24"/>
        </w:rPr>
        <w:t>VFP</w:t>
      </w:r>
      <w:r w:rsidR="00A83573">
        <w:rPr>
          <w:bCs/>
          <w:sz w:val="24"/>
          <w:szCs w:val="24"/>
        </w:rPr>
        <w:t xml:space="preserve"> has </w:t>
      </w:r>
      <w:r>
        <w:rPr>
          <w:bCs/>
          <w:sz w:val="24"/>
          <w:szCs w:val="24"/>
        </w:rPr>
        <w:t xml:space="preserve">the </w:t>
      </w:r>
      <w:r w:rsidR="00A83573">
        <w:rPr>
          <w:bCs/>
          <w:sz w:val="24"/>
          <w:szCs w:val="24"/>
        </w:rPr>
        <w:t xml:space="preserve">authorization to operate up to two (2) temporary boilers (Emission Point AA-004) during periods of shutdown for the primary wood waste-fired boiler (Emission Point AA-002).  Under Subpart Dc, </w:t>
      </w:r>
      <w:r w:rsidR="00A033D4">
        <w:rPr>
          <w:bCs/>
          <w:sz w:val="24"/>
          <w:szCs w:val="24"/>
        </w:rPr>
        <w:t>a boiler must comply with a SO</w:t>
      </w:r>
      <w:r w:rsidR="00A033D4" w:rsidRPr="00A033D4">
        <w:rPr>
          <w:bCs/>
          <w:sz w:val="24"/>
          <w:szCs w:val="24"/>
          <w:vertAlign w:val="subscript"/>
        </w:rPr>
        <w:t>2</w:t>
      </w:r>
      <w:r w:rsidR="00A033D4">
        <w:rPr>
          <w:bCs/>
          <w:sz w:val="24"/>
          <w:szCs w:val="24"/>
        </w:rPr>
        <w:t xml:space="preserve"> emission limitation (0.060 pounds per MMBTU) and an on-site time restriction (no more than 180 consecutive days) in order to be a “</w:t>
      </w:r>
      <w:r w:rsidR="00A033D4" w:rsidRPr="00A033D4">
        <w:rPr>
          <w:bCs/>
          <w:i/>
          <w:sz w:val="24"/>
          <w:szCs w:val="24"/>
        </w:rPr>
        <w:t>temporary boiler</w:t>
      </w:r>
      <w:r w:rsidR="00A033D4">
        <w:rPr>
          <w:bCs/>
          <w:sz w:val="24"/>
          <w:szCs w:val="24"/>
        </w:rPr>
        <w:t>”.</w:t>
      </w:r>
      <w:r>
        <w:rPr>
          <w:bCs/>
          <w:sz w:val="24"/>
          <w:szCs w:val="24"/>
        </w:rPr>
        <w:t xml:space="preserve">  </w:t>
      </w:r>
      <w:r w:rsidR="00AC6A39">
        <w:rPr>
          <w:bCs/>
          <w:sz w:val="24"/>
          <w:szCs w:val="24"/>
        </w:rPr>
        <w:t>As a result</w:t>
      </w:r>
      <w:r>
        <w:rPr>
          <w:bCs/>
          <w:sz w:val="24"/>
          <w:szCs w:val="24"/>
        </w:rPr>
        <w:t xml:space="preserve">, VFP proposed a restriction on the sulfur content contained within fuel oil (i.e. no more than 500 ppm) to ensure that the operation of any boiler brought on-site </w:t>
      </w:r>
      <w:r w:rsidR="00AC6A39">
        <w:rPr>
          <w:bCs/>
          <w:sz w:val="24"/>
          <w:szCs w:val="24"/>
        </w:rPr>
        <w:t xml:space="preserve">(natural gas-fired or fuel oil-fired) </w:t>
      </w:r>
      <w:r>
        <w:rPr>
          <w:bCs/>
          <w:sz w:val="24"/>
          <w:szCs w:val="24"/>
        </w:rPr>
        <w:t>meets the outlined definition of a “</w:t>
      </w:r>
      <w:r w:rsidRPr="00CE0C8F">
        <w:rPr>
          <w:bCs/>
          <w:i/>
          <w:sz w:val="24"/>
          <w:szCs w:val="24"/>
        </w:rPr>
        <w:t>temporary boiler</w:t>
      </w:r>
      <w:r>
        <w:rPr>
          <w:bCs/>
          <w:sz w:val="24"/>
          <w:szCs w:val="24"/>
        </w:rPr>
        <w:t xml:space="preserve">”.  </w:t>
      </w:r>
    </w:p>
    <w:p w14:paraId="516D90CD" w14:textId="77777777" w:rsidR="00AB6090" w:rsidRDefault="00AB6090" w:rsidP="00104CE2">
      <w:pPr>
        <w:jc w:val="both"/>
        <w:rPr>
          <w:sz w:val="24"/>
          <w:szCs w:val="24"/>
          <w:u w:val="single"/>
        </w:rPr>
      </w:pPr>
    </w:p>
    <w:p w14:paraId="7B3E9B82" w14:textId="77777777" w:rsidR="00A7530F" w:rsidRDefault="00A7530F">
      <w:pPr>
        <w:autoSpaceDE/>
        <w:autoSpaceDN/>
        <w:spacing w:after="20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516D90CE" w14:textId="2452100D" w:rsidR="00531513" w:rsidRDefault="00531513" w:rsidP="00104CE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SPECIFIC APPLICABLE REQUIREMENTS</w:t>
      </w:r>
    </w:p>
    <w:p w14:paraId="02FDEB88" w14:textId="77777777" w:rsidR="002E3B96" w:rsidRDefault="002E3B96" w:rsidP="00531513">
      <w:pPr>
        <w:rPr>
          <w:sz w:val="24"/>
          <w:szCs w:val="24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"/>
        <w:gridCol w:w="1520"/>
        <w:gridCol w:w="2790"/>
        <w:gridCol w:w="2160"/>
        <w:gridCol w:w="3150"/>
      </w:tblGrid>
      <w:tr w:rsidR="00A7530F" w:rsidRPr="00431D11" w14:paraId="297470DB" w14:textId="77777777" w:rsidTr="00B4421D">
        <w:trPr>
          <w:trHeight w:val="800"/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1698EB4" w14:textId="77777777" w:rsidR="00A7530F" w:rsidRPr="00431D11" w:rsidRDefault="00A7530F" w:rsidP="00706A32">
            <w:pPr>
              <w:jc w:val="center"/>
              <w:rPr>
                <w:b/>
                <w:bCs/>
              </w:rPr>
            </w:pPr>
            <w:r w:rsidRPr="00431D11">
              <w:rPr>
                <w:b/>
                <w:bCs/>
              </w:rPr>
              <w:t xml:space="preserve">Emission </w:t>
            </w:r>
          </w:p>
          <w:p w14:paraId="19944352" w14:textId="77777777" w:rsidR="00A7530F" w:rsidRPr="00431D11" w:rsidRDefault="00A7530F" w:rsidP="00706A32">
            <w:pPr>
              <w:widowControl w:val="0"/>
              <w:jc w:val="center"/>
            </w:pPr>
            <w:r w:rsidRPr="00431D11">
              <w:rPr>
                <w:b/>
                <w:bCs/>
              </w:rPr>
              <w:t>Point</w:t>
            </w:r>
            <w:r>
              <w:rPr>
                <w:b/>
                <w:bCs/>
              </w:rPr>
              <w:t>(s)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7E74F8B" w14:textId="77777777" w:rsidR="00A7530F" w:rsidRPr="00431D11" w:rsidRDefault="00A7530F" w:rsidP="00706A32">
            <w:pPr>
              <w:widowControl w:val="0"/>
              <w:jc w:val="center"/>
              <w:rPr>
                <w:b/>
              </w:rPr>
            </w:pPr>
            <w:r w:rsidRPr="00431D11">
              <w:rPr>
                <w:b/>
              </w:rPr>
              <w:t>Pollutant(s) /</w:t>
            </w:r>
          </w:p>
          <w:p w14:paraId="2FE36E86" w14:textId="77777777" w:rsidR="00A7530F" w:rsidRPr="00431D11" w:rsidRDefault="00A7530F" w:rsidP="00706A32">
            <w:pPr>
              <w:widowControl w:val="0"/>
              <w:jc w:val="center"/>
              <w:rPr>
                <w:b/>
              </w:rPr>
            </w:pPr>
            <w:r w:rsidRPr="00431D11">
              <w:rPr>
                <w:b/>
              </w:rPr>
              <w:t>Parameter(s)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313DB27" w14:textId="77777777" w:rsidR="00A7530F" w:rsidRPr="00431D11" w:rsidRDefault="00A7530F" w:rsidP="00706A32">
            <w:pPr>
              <w:widowControl w:val="0"/>
              <w:jc w:val="center"/>
            </w:pPr>
            <w:r w:rsidRPr="00431D11">
              <w:rPr>
                <w:b/>
                <w:bCs/>
              </w:rPr>
              <w:t>Applicable Requirement(s)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BCB4427" w14:textId="77777777" w:rsidR="00A7530F" w:rsidRPr="00431D11" w:rsidRDefault="00A7530F" w:rsidP="00706A32">
            <w:pPr>
              <w:widowControl w:val="0"/>
              <w:jc w:val="center"/>
            </w:pPr>
            <w:r w:rsidRPr="00431D11">
              <w:rPr>
                <w:b/>
                <w:bCs/>
              </w:rPr>
              <w:t>Limitation(s) / Standard(s)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0275F7" w14:textId="77777777" w:rsidR="00A7530F" w:rsidRPr="00431D11" w:rsidRDefault="00A7530F" w:rsidP="00706A32">
            <w:pPr>
              <w:spacing w:before="120" w:after="120"/>
              <w:jc w:val="center"/>
            </w:pPr>
            <w:r w:rsidRPr="00431D11">
              <w:rPr>
                <w:b/>
                <w:bCs/>
              </w:rPr>
              <w:t>Monitoring Requirement(s)</w:t>
            </w:r>
          </w:p>
        </w:tc>
      </w:tr>
      <w:tr w:rsidR="00C021C4" w:rsidRPr="00431D11" w14:paraId="2640DB08" w14:textId="77777777" w:rsidTr="00B4421D">
        <w:trPr>
          <w:trHeight w:val="1322"/>
          <w:jc w:val="center"/>
        </w:trPr>
        <w:tc>
          <w:tcPr>
            <w:tcW w:w="995" w:type="dxa"/>
            <w:vMerge w:val="restart"/>
            <w:shd w:val="clear" w:color="auto" w:fill="auto"/>
            <w:vAlign w:val="center"/>
          </w:tcPr>
          <w:p w14:paraId="447F1171" w14:textId="0CABDE50" w:rsidR="00C021C4" w:rsidRPr="00431D11" w:rsidRDefault="00C021C4" w:rsidP="00706A3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AA-100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9CD07CC" w14:textId="77777777" w:rsidR="00C021C4" w:rsidRPr="00431D11" w:rsidRDefault="00C021C4" w:rsidP="00706A32">
            <w:pPr>
              <w:jc w:val="center"/>
              <w:rPr>
                <w:bCs/>
              </w:rPr>
            </w:pPr>
            <w:r w:rsidRPr="00431D11">
              <w:rPr>
                <w:bCs/>
              </w:rPr>
              <w:t xml:space="preserve">PM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9B0FE98" w14:textId="77777777" w:rsidR="00C021C4" w:rsidRPr="00431D11" w:rsidRDefault="00C021C4" w:rsidP="00706A32">
            <w:pPr>
              <w:jc w:val="center"/>
              <w:rPr>
                <w:bCs/>
              </w:rPr>
            </w:pPr>
            <w:r w:rsidRPr="00431D11">
              <w:rPr>
                <w:bCs/>
              </w:rPr>
              <w:t>11 Miss. Admin. Code Pt. 2, R.1.3.F</w:t>
            </w:r>
            <w:proofErr w:type="gramStart"/>
            <w:r w:rsidRPr="00431D11">
              <w:rPr>
                <w:bCs/>
              </w:rPr>
              <w:t>.(</w:t>
            </w:r>
            <w:proofErr w:type="gramEnd"/>
            <w:r w:rsidRPr="00431D11">
              <w:rPr>
                <w:bCs/>
              </w:rPr>
              <w:t>1).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623CCC3" w14:textId="77777777" w:rsidR="00C021C4" w:rsidRPr="00431D11" w:rsidRDefault="00C021C4" w:rsidP="00706A32">
            <w:pPr>
              <w:widowControl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E=4.1 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0.67</m:t>
                    </m:r>
                  </m:sup>
                </m:sSup>
                <m:r>
                  <w:rPr>
                    <w:rFonts w:ascii="Cambria Math" w:hAnsi="Cambria Math"/>
                    <w:vertAlign w:val="superscript"/>
                  </w:rPr>
                  <m:t>)</m:t>
                </m:r>
              </m:oMath>
            </m:oMathPara>
          </w:p>
        </w:tc>
        <w:tc>
          <w:tcPr>
            <w:tcW w:w="3150" w:type="dxa"/>
            <w:shd w:val="clear" w:color="auto" w:fill="auto"/>
            <w:vAlign w:val="center"/>
          </w:tcPr>
          <w:p w14:paraId="26730984" w14:textId="228F8800" w:rsidR="00C021C4" w:rsidRPr="00431D11" w:rsidRDefault="00C021C4" w:rsidP="00706A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The facility will demonstrate compliance with this standard conducting visible emission observations and performance stack testing at applicable sources. </w:t>
            </w:r>
          </w:p>
        </w:tc>
      </w:tr>
      <w:tr w:rsidR="00C021C4" w:rsidRPr="00431D11" w14:paraId="037BC03F" w14:textId="77777777" w:rsidTr="00B4421D">
        <w:trPr>
          <w:trHeight w:val="2060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14:paraId="5EC76782" w14:textId="2C27CE49" w:rsidR="00C021C4" w:rsidRDefault="00C021C4" w:rsidP="00706A32">
            <w:pPr>
              <w:pStyle w:val="NoSpacing"/>
              <w:jc w:val="center"/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22DABE58" w14:textId="77777777" w:rsidR="00C021C4" w:rsidRPr="00F8257F" w:rsidRDefault="00C021C4" w:rsidP="00706A32">
            <w:pPr>
              <w:pStyle w:val="NoSpacing"/>
              <w:jc w:val="center"/>
            </w:pPr>
            <w:r>
              <w:t>Opacity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CC500D3" w14:textId="77777777" w:rsidR="00C021C4" w:rsidRPr="00E55C2F" w:rsidRDefault="00C021C4" w:rsidP="00706A32">
            <w:pPr>
              <w:pStyle w:val="NoSpacing"/>
              <w:jc w:val="center"/>
            </w:pPr>
            <w:r w:rsidRPr="00E55C2F">
              <w:t>11 Miss. Admin. Code Pt. 2, R. 1.3.A.</w:t>
            </w:r>
          </w:p>
          <w:p w14:paraId="6CBD63BC" w14:textId="77777777" w:rsidR="00C021C4" w:rsidRPr="00E55C2F" w:rsidRDefault="00C021C4" w:rsidP="00706A32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38A80F45" w14:textId="77777777" w:rsidR="00C021C4" w:rsidRPr="00F8257F" w:rsidRDefault="00C021C4" w:rsidP="00706A32">
            <w:pPr>
              <w:pStyle w:val="NoSpacing"/>
              <w:jc w:val="center"/>
            </w:pPr>
            <w:r w:rsidRPr="00E55C2F">
              <w:t>11 Miss. Admin. Code Pt. 2, R. 1.3.B.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25E9A2B" w14:textId="77777777" w:rsidR="00C021C4" w:rsidRPr="00F8257F" w:rsidRDefault="00C021C4" w:rsidP="00706A32">
            <w:pPr>
              <w:pStyle w:val="NoSpacing"/>
              <w:jc w:val="center"/>
            </w:pPr>
            <w:r>
              <w:t>≤ 40%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24D1DC5" w14:textId="24369923" w:rsidR="00C021C4" w:rsidRDefault="00C021C4" w:rsidP="00B4421D">
            <w:pPr>
              <w:pStyle w:val="NoSpacing"/>
              <w:jc w:val="center"/>
            </w:pPr>
            <w:r w:rsidRPr="00B4421D">
              <w:t xml:space="preserve">The facility shall </w:t>
            </w:r>
            <w:r>
              <w:t xml:space="preserve">demonstrate compliance with the </w:t>
            </w:r>
            <w:r w:rsidRPr="00B4421D">
              <w:t xml:space="preserve">opacity </w:t>
            </w:r>
            <w:r>
              <w:t xml:space="preserve">standard </w:t>
            </w:r>
            <w:r w:rsidRPr="00B4421D">
              <w:t xml:space="preserve">by performing and recording </w:t>
            </w:r>
            <w:r>
              <w:t xml:space="preserve">weekly </w:t>
            </w:r>
            <w:r w:rsidRPr="00B4421D">
              <w:t xml:space="preserve">visible emission observations </w:t>
            </w:r>
            <w:r>
              <w:t xml:space="preserve">from the emission sources that can significantly </w:t>
            </w:r>
            <w:proofErr w:type="gramStart"/>
            <w:r>
              <w:t>impact</w:t>
            </w:r>
            <w:proofErr w:type="gramEnd"/>
            <w:r>
              <w:t xml:space="preserve"> opacity (i.e. the wood waste-fired boiler and the baghouse)</w:t>
            </w:r>
            <w:r w:rsidRPr="00B4421D">
              <w:t>.</w:t>
            </w:r>
          </w:p>
        </w:tc>
      </w:tr>
      <w:tr w:rsidR="00C021C4" w:rsidRPr="00431D11" w14:paraId="6DF5D097" w14:textId="77777777" w:rsidTr="00C021C4">
        <w:trPr>
          <w:trHeight w:val="1430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14:paraId="51A819D4" w14:textId="77777777" w:rsidR="00C021C4" w:rsidRDefault="00C021C4" w:rsidP="00706A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38F3BD72" w14:textId="6D0DE943" w:rsidR="00C021C4" w:rsidRPr="00232075" w:rsidRDefault="00C021C4" w:rsidP="00706A32">
            <w:pPr>
              <w:jc w:val="center"/>
              <w:rPr>
                <w:bCs/>
              </w:rPr>
            </w:pPr>
            <w:r>
              <w:rPr>
                <w:bCs/>
              </w:rPr>
              <w:t>HAPs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21F8EEC" w14:textId="77777777" w:rsidR="00C021C4" w:rsidRPr="00C021C4" w:rsidRDefault="00C021C4" w:rsidP="00C021C4">
            <w:pPr>
              <w:widowControl w:val="0"/>
              <w:jc w:val="center"/>
              <w:rPr>
                <w:bCs/>
              </w:rPr>
            </w:pPr>
            <w:r w:rsidRPr="00C021C4">
              <w:rPr>
                <w:bCs/>
              </w:rPr>
              <w:t>Federally Enforceable Permit to Construct Issued on October 3, 2018</w:t>
            </w:r>
          </w:p>
          <w:p w14:paraId="7FBAC939" w14:textId="77777777" w:rsidR="00C021C4" w:rsidRPr="00C021C4" w:rsidRDefault="00C021C4" w:rsidP="00C021C4">
            <w:pPr>
              <w:widowControl w:val="0"/>
              <w:rPr>
                <w:bCs/>
                <w:sz w:val="10"/>
                <w:szCs w:val="10"/>
              </w:rPr>
            </w:pPr>
          </w:p>
          <w:p w14:paraId="79B799AC" w14:textId="3BC69993" w:rsidR="00C021C4" w:rsidRPr="00232075" w:rsidRDefault="00C021C4" w:rsidP="00C021C4">
            <w:pPr>
              <w:jc w:val="center"/>
              <w:rPr>
                <w:bCs/>
              </w:rPr>
            </w:pPr>
            <w:r w:rsidRPr="00C021C4">
              <w:rPr>
                <w:b/>
                <w:bCs/>
              </w:rPr>
              <w:t>(Major Source Avoidance Limit)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82616C" w14:textId="77777777" w:rsidR="00C021C4" w:rsidRPr="00C021C4" w:rsidRDefault="00C021C4" w:rsidP="00C021C4">
            <w:pPr>
              <w:widowControl w:val="0"/>
              <w:jc w:val="center"/>
            </w:pPr>
            <w:r w:rsidRPr="00C021C4">
              <w:t xml:space="preserve">9.90 </w:t>
            </w:r>
            <w:proofErr w:type="spellStart"/>
            <w:r w:rsidRPr="00C021C4">
              <w:t>tpy</w:t>
            </w:r>
            <w:proofErr w:type="spellEnd"/>
            <w:r w:rsidRPr="00C021C4">
              <w:t xml:space="preserve"> (Individual)</w:t>
            </w:r>
          </w:p>
          <w:p w14:paraId="53E06265" w14:textId="77777777" w:rsidR="00C021C4" w:rsidRPr="00C021C4" w:rsidRDefault="00C021C4" w:rsidP="00C021C4">
            <w:pPr>
              <w:widowControl w:val="0"/>
              <w:jc w:val="center"/>
              <w:rPr>
                <w:sz w:val="10"/>
                <w:szCs w:val="10"/>
              </w:rPr>
            </w:pPr>
          </w:p>
          <w:p w14:paraId="622BA7C3" w14:textId="77777777" w:rsidR="00C021C4" w:rsidRPr="00C021C4" w:rsidRDefault="00C021C4" w:rsidP="00C021C4">
            <w:pPr>
              <w:widowControl w:val="0"/>
              <w:jc w:val="center"/>
            </w:pPr>
            <w:r w:rsidRPr="00C021C4">
              <w:t xml:space="preserve">24.90 </w:t>
            </w:r>
            <w:proofErr w:type="spellStart"/>
            <w:r w:rsidRPr="00C021C4">
              <w:t>tpy</w:t>
            </w:r>
            <w:proofErr w:type="spellEnd"/>
            <w:r w:rsidRPr="00C021C4">
              <w:t xml:space="preserve"> (Total)</w:t>
            </w:r>
          </w:p>
          <w:p w14:paraId="3FCFD355" w14:textId="77777777" w:rsidR="00C021C4" w:rsidRPr="00C021C4" w:rsidRDefault="00C021C4" w:rsidP="00C021C4">
            <w:pPr>
              <w:widowControl w:val="0"/>
              <w:jc w:val="center"/>
              <w:rPr>
                <w:sz w:val="10"/>
                <w:szCs w:val="10"/>
              </w:rPr>
            </w:pPr>
          </w:p>
          <w:p w14:paraId="138F64D5" w14:textId="22EB4882" w:rsidR="00C021C4" w:rsidRPr="007520FF" w:rsidRDefault="00C021C4" w:rsidP="00C021C4">
            <w:pPr>
              <w:widowControl w:val="0"/>
              <w:jc w:val="center"/>
            </w:pPr>
            <w:r w:rsidRPr="00C021C4">
              <w:t>(Rolling 52-Week Period)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F1BF0E7" w14:textId="1E2D48DF" w:rsidR="00C021C4" w:rsidRDefault="00C021C4" w:rsidP="00C021C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The facility shall calculate and record HAP emissions from all applicable operations and/or process units both weekly and on a rolling 52-week period. </w:t>
            </w:r>
          </w:p>
        </w:tc>
      </w:tr>
      <w:tr w:rsidR="00766A18" w:rsidRPr="00431D11" w14:paraId="678DCD51" w14:textId="77777777" w:rsidTr="00735AB9">
        <w:trPr>
          <w:trHeight w:val="1880"/>
          <w:jc w:val="center"/>
        </w:trPr>
        <w:tc>
          <w:tcPr>
            <w:tcW w:w="995" w:type="dxa"/>
            <w:shd w:val="clear" w:color="auto" w:fill="auto"/>
            <w:vAlign w:val="center"/>
          </w:tcPr>
          <w:p w14:paraId="6BA0202F" w14:textId="77777777" w:rsidR="00766A18" w:rsidRDefault="00766A18" w:rsidP="00766A1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AA-002</w:t>
            </w:r>
          </w:p>
          <w:p w14:paraId="53CB4FD5" w14:textId="6F504BDB" w:rsidR="00766A18" w:rsidRDefault="00766A18" w:rsidP="00766A1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AA-004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9C290CC" w14:textId="2B4C83AD" w:rsidR="00766A18" w:rsidRDefault="00766A18" w:rsidP="00706A32">
            <w:pPr>
              <w:jc w:val="center"/>
            </w:pPr>
            <w:r>
              <w:t>SO</w:t>
            </w:r>
            <w:r w:rsidRPr="00766A18">
              <w:rPr>
                <w:vertAlign w:val="subscript"/>
              </w:rPr>
              <w:t>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839A398" w14:textId="613744EE" w:rsidR="00766A18" w:rsidRPr="007374FF" w:rsidRDefault="00766A18" w:rsidP="00706A32">
            <w:pPr>
              <w:jc w:val="center"/>
              <w:rPr>
                <w:bCs/>
              </w:rPr>
            </w:pPr>
            <w:r w:rsidRPr="00766A18">
              <w:rPr>
                <w:bCs/>
              </w:rPr>
              <w:t>11 Miss. Admin. Code Pt. 2, R. 1.4.A</w:t>
            </w:r>
            <w:proofErr w:type="gramStart"/>
            <w:r w:rsidRPr="00766A18">
              <w:rPr>
                <w:bCs/>
              </w:rPr>
              <w:t>.(</w:t>
            </w:r>
            <w:proofErr w:type="gramEnd"/>
            <w:r w:rsidRPr="00766A18">
              <w:rPr>
                <w:bCs/>
              </w:rPr>
              <w:t>1).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645F4FB" w14:textId="29F61088" w:rsidR="00766A18" w:rsidRPr="007374FF" w:rsidRDefault="00766A18" w:rsidP="00706A32">
            <w:pPr>
              <w:widowControl w:val="0"/>
              <w:jc w:val="center"/>
            </w:pPr>
            <w:r w:rsidRPr="00766A18">
              <w:rPr>
                <w:bCs/>
              </w:rPr>
              <w:t>4.8 Pounds / MMBTU Heat Input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4D41746" w14:textId="3652DDB7" w:rsidR="00766A18" w:rsidRDefault="00735AB9" w:rsidP="00735AB9">
            <w:pPr>
              <w:jc w:val="center"/>
              <w:rPr>
                <w:bCs/>
              </w:rPr>
            </w:pPr>
            <w:r>
              <w:rPr>
                <w:bCs/>
              </w:rPr>
              <w:t>Given that the boilers that operate (or will operate) on-site are required to use low-sulfur fuels (i.e. uncontaminated wood waste, low-sulfur fuel oil, pipeline natural gas), the margin of compliance for this State standard should be significant.</w:t>
            </w:r>
          </w:p>
        </w:tc>
      </w:tr>
      <w:tr w:rsidR="00735AB9" w:rsidRPr="00431D11" w14:paraId="083EC43A" w14:textId="77777777" w:rsidTr="00040C5B">
        <w:trPr>
          <w:trHeight w:val="1340"/>
          <w:jc w:val="center"/>
        </w:trPr>
        <w:tc>
          <w:tcPr>
            <w:tcW w:w="995" w:type="dxa"/>
            <w:vMerge w:val="restart"/>
            <w:shd w:val="clear" w:color="auto" w:fill="auto"/>
            <w:vAlign w:val="center"/>
          </w:tcPr>
          <w:p w14:paraId="69435DF9" w14:textId="30F154A6" w:rsidR="00735AB9" w:rsidRPr="00431D11" w:rsidRDefault="00735AB9" w:rsidP="00766A1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AA-002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78FA8F1" w14:textId="2ADCEDFF" w:rsidR="00735AB9" w:rsidRPr="00F8257F" w:rsidRDefault="00735AB9" w:rsidP="00706A32">
            <w:pPr>
              <w:jc w:val="center"/>
              <w:rPr>
                <w:bCs/>
              </w:rPr>
            </w:pPr>
            <w:r>
              <w:t>PM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D50E624" w14:textId="28948CFF" w:rsidR="00735AB9" w:rsidRPr="00F8257F" w:rsidRDefault="00735AB9" w:rsidP="00706A32">
            <w:pPr>
              <w:jc w:val="center"/>
              <w:rPr>
                <w:bCs/>
              </w:rPr>
            </w:pPr>
            <w:r w:rsidRPr="007374FF">
              <w:rPr>
                <w:bCs/>
              </w:rPr>
              <w:t>11 Miss. Admin. Code Pt. 2, R. 1.3.D</w:t>
            </w:r>
            <w:proofErr w:type="gramStart"/>
            <w:r w:rsidRPr="007374FF">
              <w:rPr>
                <w:bCs/>
              </w:rPr>
              <w:t>.(</w:t>
            </w:r>
            <w:proofErr w:type="gramEnd"/>
            <w:r w:rsidRPr="007374FF">
              <w:rPr>
                <w:bCs/>
              </w:rPr>
              <w:t>2).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399BC95" w14:textId="45F32F35" w:rsidR="00735AB9" w:rsidRPr="00431D11" w:rsidRDefault="00735AB9" w:rsidP="00706A32">
            <w:pPr>
              <w:widowControl w:val="0"/>
              <w:jc w:val="center"/>
            </w:pPr>
            <w:r w:rsidRPr="007374FF">
              <w:t>0.30 Grains / Dry Standard Cubic Foot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BE4813C" w14:textId="6C124519" w:rsidR="00735AB9" w:rsidRPr="00431D11" w:rsidRDefault="00735AB9" w:rsidP="00706A32">
            <w:pPr>
              <w:jc w:val="center"/>
              <w:rPr>
                <w:bCs/>
              </w:rPr>
            </w:pPr>
            <w:r>
              <w:rPr>
                <w:bCs/>
              </w:rPr>
              <w:t>Given that the facility shall only combust uncontaminated wood waste within the boiler, the margin of compliance with this standard should be significant.</w:t>
            </w:r>
          </w:p>
        </w:tc>
      </w:tr>
      <w:tr w:rsidR="00735AB9" w:rsidRPr="00431D11" w14:paraId="36E5CFB2" w14:textId="77777777" w:rsidTr="00735AB9">
        <w:trPr>
          <w:trHeight w:val="980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14:paraId="1F26AF01" w14:textId="71DFDF00" w:rsidR="00735AB9" w:rsidRPr="00431D11" w:rsidRDefault="00735AB9" w:rsidP="00706A32">
            <w:pPr>
              <w:widowControl w:val="0"/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6978" w14:textId="00AD59FD" w:rsidR="00735AB9" w:rsidRPr="00431D11" w:rsidRDefault="00735AB9" w:rsidP="00706A32">
            <w:pPr>
              <w:jc w:val="center"/>
              <w:rPr>
                <w:bCs/>
              </w:rPr>
            </w:pPr>
            <w:r>
              <w:t>PM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EB98" w14:textId="2B26AAD1" w:rsidR="00735AB9" w:rsidRPr="00431D11" w:rsidRDefault="00735AB9" w:rsidP="00735AB9">
            <w:pPr>
              <w:jc w:val="center"/>
              <w:rPr>
                <w:bCs/>
              </w:rPr>
            </w:pPr>
            <w:r w:rsidRPr="00232075">
              <w:rPr>
                <w:bCs/>
              </w:rPr>
              <w:t>Federally Enforceable Permit to Construct Issued on May 24, 19</w:t>
            </w:r>
            <w:r>
              <w:rPr>
                <w:bCs/>
              </w:rPr>
              <w:t>8</w:t>
            </w:r>
            <w:r w:rsidRPr="00232075">
              <w:rPr>
                <w:bCs/>
              </w:rPr>
              <w:t>8 and Modified on September 17, 1999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D82D" w14:textId="4A1F5A5E" w:rsidR="00735AB9" w:rsidRPr="00232075" w:rsidRDefault="00735AB9" w:rsidP="00232075">
            <w:pPr>
              <w:widowControl w:val="0"/>
              <w:jc w:val="center"/>
            </w:pPr>
            <w:r>
              <w:t>45.6 Pounds / Hour</w:t>
            </w:r>
          </w:p>
          <w:p w14:paraId="532DF031" w14:textId="77777777" w:rsidR="00735AB9" w:rsidRPr="00232075" w:rsidRDefault="00735AB9" w:rsidP="00232075">
            <w:pPr>
              <w:widowControl w:val="0"/>
              <w:rPr>
                <w:sz w:val="10"/>
                <w:szCs w:val="10"/>
              </w:rPr>
            </w:pPr>
          </w:p>
          <w:p w14:paraId="79411F99" w14:textId="4C6C5E66" w:rsidR="00735AB9" w:rsidRPr="00431D11" w:rsidRDefault="00735AB9" w:rsidP="00AC6A39">
            <w:pPr>
              <w:widowControl w:val="0"/>
              <w:jc w:val="center"/>
            </w:pPr>
            <w:r w:rsidRPr="00232075">
              <w:t xml:space="preserve">199.7 </w:t>
            </w:r>
            <w:proofErr w:type="spellStart"/>
            <w:r w:rsidRPr="00232075">
              <w:t>tpy</w:t>
            </w:r>
            <w:proofErr w:type="spellEnd"/>
            <w:r w:rsidRPr="00232075">
              <w:t xml:space="preserve"> (Rolling 12-Month </w:t>
            </w:r>
            <w:r>
              <w:t>Total</w:t>
            </w:r>
            <w:r w:rsidRPr="00232075">
              <w:t>)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3AAD" w14:textId="58C5515F" w:rsidR="00735AB9" w:rsidRPr="00431D11" w:rsidRDefault="00735AB9" w:rsidP="00735AB9">
            <w:pPr>
              <w:jc w:val="center"/>
              <w:rPr>
                <w:bCs/>
              </w:rPr>
            </w:pPr>
            <w:r>
              <w:rPr>
                <w:bCs/>
              </w:rPr>
              <w:t>The facility shall conduct routine performance stack testing to demonstrate compliance with each hourly emission rate limitation (with the exception of VOCs and SO</w:t>
            </w:r>
            <w:r w:rsidRPr="00766A18">
              <w:rPr>
                <w:bCs/>
                <w:vertAlign w:val="subscript"/>
              </w:rPr>
              <w:t>2</w:t>
            </w:r>
            <w:r>
              <w:rPr>
                <w:bCs/>
              </w:rPr>
              <w:t>).</w:t>
            </w:r>
          </w:p>
        </w:tc>
      </w:tr>
      <w:tr w:rsidR="00735AB9" w:rsidRPr="00431D11" w14:paraId="2CFC41DD" w14:textId="77777777" w:rsidTr="00AC6A39">
        <w:trPr>
          <w:trHeight w:val="980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14:paraId="295DB921" w14:textId="0BDD583E" w:rsidR="00735AB9" w:rsidRPr="00431D11" w:rsidRDefault="00735AB9" w:rsidP="00706A32">
            <w:pPr>
              <w:widowControl w:val="0"/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EB5" w14:textId="014D1878" w:rsidR="00735AB9" w:rsidRPr="00431D11" w:rsidRDefault="00735AB9" w:rsidP="00706A32">
            <w:pPr>
              <w:jc w:val="center"/>
              <w:rPr>
                <w:bCs/>
              </w:rPr>
            </w:pPr>
            <w:r>
              <w:t>NO</w:t>
            </w:r>
            <w:r w:rsidRPr="00C578E2">
              <w:rPr>
                <w:vertAlign w:val="subscript"/>
              </w:rPr>
              <w:t>X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121B" w14:textId="313B486D" w:rsidR="00735AB9" w:rsidRPr="00431D11" w:rsidRDefault="00735AB9" w:rsidP="00706A32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5BF09FD7" w14:textId="77DB9F8E" w:rsidR="00735AB9" w:rsidRPr="00232075" w:rsidRDefault="00735AB9" w:rsidP="00232075">
            <w:pPr>
              <w:widowControl w:val="0"/>
              <w:jc w:val="center"/>
            </w:pPr>
            <w:r w:rsidRPr="00232075">
              <w:t>30.0 Pounds / Hour</w:t>
            </w:r>
          </w:p>
          <w:p w14:paraId="3930F29E" w14:textId="77777777" w:rsidR="00735AB9" w:rsidRPr="00232075" w:rsidRDefault="00735AB9" w:rsidP="00232075">
            <w:pPr>
              <w:widowControl w:val="0"/>
              <w:rPr>
                <w:sz w:val="10"/>
                <w:szCs w:val="10"/>
              </w:rPr>
            </w:pPr>
          </w:p>
          <w:p w14:paraId="21503513" w14:textId="7963DB5A" w:rsidR="00735AB9" w:rsidRPr="00431D11" w:rsidRDefault="00735AB9" w:rsidP="00AC6A39">
            <w:pPr>
              <w:widowControl w:val="0"/>
              <w:jc w:val="center"/>
            </w:pPr>
            <w:r w:rsidRPr="00232075">
              <w:t xml:space="preserve">131.4 </w:t>
            </w:r>
            <w:proofErr w:type="spellStart"/>
            <w:r w:rsidRPr="00232075">
              <w:t>tpy</w:t>
            </w:r>
            <w:proofErr w:type="spellEnd"/>
            <w:r w:rsidRPr="00232075">
              <w:t xml:space="preserve"> (Rolling 12-Month </w:t>
            </w:r>
            <w:r>
              <w:t>Total</w:t>
            </w:r>
            <w:r w:rsidRPr="00232075">
              <w:t>)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EA61" w14:textId="64B60E3B" w:rsidR="00735AB9" w:rsidRPr="00431D11" w:rsidRDefault="00735AB9" w:rsidP="00706A32">
            <w:pPr>
              <w:spacing w:before="120" w:after="120"/>
              <w:jc w:val="center"/>
              <w:rPr>
                <w:bCs/>
              </w:rPr>
            </w:pPr>
          </w:p>
        </w:tc>
      </w:tr>
      <w:tr w:rsidR="00735AB9" w:rsidRPr="00431D11" w14:paraId="1DE45E9B" w14:textId="77777777" w:rsidTr="00AC6A39">
        <w:trPr>
          <w:trHeight w:val="1070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14:paraId="64777EB8" w14:textId="26625E0F" w:rsidR="00735AB9" w:rsidRPr="00431D11" w:rsidRDefault="00735AB9" w:rsidP="00706A32">
            <w:pPr>
              <w:widowControl w:val="0"/>
              <w:jc w:val="center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544F7" w14:textId="77512073" w:rsidR="00735AB9" w:rsidRPr="00431D11" w:rsidRDefault="00735AB9" w:rsidP="00706A32">
            <w:pPr>
              <w:spacing w:before="120" w:after="120"/>
              <w:jc w:val="center"/>
            </w:pPr>
            <w:r>
              <w:t>CO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95B1" w14:textId="4A564980" w:rsidR="00735AB9" w:rsidRPr="00431D11" w:rsidRDefault="00735AB9" w:rsidP="00706A32">
            <w:pPr>
              <w:widowControl w:val="0"/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6293" w14:textId="13B8644A" w:rsidR="00735AB9" w:rsidRPr="00232075" w:rsidRDefault="00735AB9" w:rsidP="00232075">
            <w:pPr>
              <w:widowControl w:val="0"/>
              <w:jc w:val="center"/>
            </w:pPr>
            <w:r>
              <w:t>23.2 Pounds / Hour</w:t>
            </w:r>
          </w:p>
          <w:p w14:paraId="29A45E19" w14:textId="77777777" w:rsidR="00735AB9" w:rsidRPr="00232075" w:rsidRDefault="00735AB9" w:rsidP="00232075">
            <w:pPr>
              <w:widowControl w:val="0"/>
              <w:rPr>
                <w:sz w:val="10"/>
                <w:szCs w:val="10"/>
              </w:rPr>
            </w:pPr>
          </w:p>
          <w:p w14:paraId="48427899" w14:textId="7483D4E4" w:rsidR="00735AB9" w:rsidRPr="00431D11" w:rsidRDefault="00735AB9" w:rsidP="00AC6A39">
            <w:pPr>
              <w:widowControl w:val="0"/>
              <w:jc w:val="center"/>
            </w:pPr>
            <w:r w:rsidRPr="00232075">
              <w:t xml:space="preserve">101.6 </w:t>
            </w:r>
            <w:proofErr w:type="spellStart"/>
            <w:r w:rsidRPr="00232075">
              <w:t>tpy</w:t>
            </w:r>
            <w:proofErr w:type="spellEnd"/>
            <w:r w:rsidRPr="00232075">
              <w:t xml:space="preserve"> (Rolling 12-Month </w:t>
            </w:r>
            <w:r>
              <w:t>Total</w:t>
            </w:r>
            <w:r w:rsidRPr="00232075">
              <w:t>)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627E" w14:textId="244BCDA1" w:rsidR="00735AB9" w:rsidRPr="00431D11" w:rsidRDefault="00735AB9" w:rsidP="00706A32">
            <w:pPr>
              <w:spacing w:before="120" w:after="120"/>
              <w:jc w:val="center"/>
            </w:pPr>
          </w:p>
        </w:tc>
      </w:tr>
      <w:tr w:rsidR="00735AB9" w:rsidRPr="00431D11" w14:paraId="4BFBBD41" w14:textId="77777777" w:rsidTr="00580BDE">
        <w:trPr>
          <w:trHeight w:val="800"/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4BC2FB5" w14:textId="75ECF6D6" w:rsidR="00735AB9" w:rsidRPr="00735AB9" w:rsidRDefault="00735AB9" w:rsidP="00735AB9">
            <w:pPr>
              <w:pStyle w:val="NoSpacing"/>
              <w:jc w:val="center"/>
              <w:rPr>
                <w:b/>
              </w:rPr>
            </w:pPr>
            <w:r w:rsidRPr="00735AB9">
              <w:rPr>
                <w:b/>
              </w:rPr>
              <w:lastRenderedPageBreak/>
              <w:br w:type="page"/>
              <w:t>Emission</w:t>
            </w:r>
          </w:p>
          <w:p w14:paraId="7F0B5F9C" w14:textId="527F13DC" w:rsidR="00735AB9" w:rsidRPr="00735AB9" w:rsidRDefault="00735AB9" w:rsidP="00735AB9">
            <w:pPr>
              <w:pStyle w:val="NoSpacing"/>
              <w:jc w:val="center"/>
              <w:rPr>
                <w:b/>
              </w:rPr>
            </w:pPr>
            <w:r w:rsidRPr="00735AB9">
              <w:rPr>
                <w:b/>
              </w:rPr>
              <w:t>Point(s)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029C858" w14:textId="77777777" w:rsidR="00735AB9" w:rsidRPr="00735AB9" w:rsidRDefault="00735AB9" w:rsidP="00735AB9">
            <w:pPr>
              <w:pStyle w:val="NoSpacing"/>
              <w:jc w:val="center"/>
              <w:rPr>
                <w:b/>
              </w:rPr>
            </w:pPr>
            <w:r w:rsidRPr="00735AB9">
              <w:rPr>
                <w:b/>
              </w:rPr>
              <w:t>Pollutant(s) /</w:t>
            </w:r>
          </w:p>
          <w:p w14:paraId="725FEC1D" w14:textId="0DF7C79E" w:rsidR="00735AB9" w:rsidRPr="00735AB9" w:rsidRDefault="00735AB9" w:rsidP="00735AB9">
            <w:pPr>
              <w:pStyle w:val="NoSpacing"/>
              <w:jc w:val="center"/>
              <w:rPr>
                <w:b/>
              </w:rPr>
            </w:pPr>
            <w:r w:rsidRPr="00735AB9">
              <w:rPr>
                <w:b/>
              </w:rPr>
              <w:t>Parameter(s)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4F20BE5" w14:textId="75B19E62" w:rsidR="00735AB9" w:rsidRPr="00735AB9" w:rsidRDefault="00735AB9" w:rsidP="00735AB9">
            <w:pPr>
              <w:pStyle w:val="NoSpacing"/>
              <w:jc w:val="center"/>
              <w:rPr>
                <w:b/>
              </w:rPr>
            </w:pPr>
            <w:r w:rsidRPr="00735AB9">
              <w:rPr>
                <w:b/>
              </w:rPr>
              <w:t>Applicable Requirement(s)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4BF37AB" w14:textId="3A161954" w:rsidR="00735AB9" w:rsidRPr="00735AB9" w:rsidRDefault="00735AB9" w:rsidP="00735AB9">
            <w:pPr>
              <w:pStyle w:val="NoSpacing"/>
              <w:jc w:val="center"/>
              <w:rPr>
                <w:b/>
              </w:rPr>
            </w:pPr>
            <w:r w:rsidRPr="00735AB9">
              <w:rPr>
                <w:b/>
              </w:rPr>
              <w:t>Limitation(s) / Standard(s)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C76F0B" w14:textId="306A37D7" w:rsidR="00735AB9" w:rsidRPr="00735AB9" w:rsidRDefault="00735AB9" w:rsidP="00735AB9">
            <w:pPr>
              <w:pStyle w:val="NoSpacing"/>
              <w:jc w:val="center"/>
              <w:rPr>
                <w:b/>
              </w:rPr>
            </w:pPr>
            <w:r w:rsidRPr="00735AB9">
              <w:rPr>
                <w:b/>
              </w:rPr>
              <w:t>Monitoring Requirement(s)</w:t>
            </w:r>
          </w:p>
        </w:tc>
      </w:tr>
      <w:tr w:rsidR="00735AB9" w:rsidRPr="00431D11" w14:paraId="5CAB98EB" w14:textId="77777777" w:rsidTr="002B0AD0">
        <w:trPr>
          <w:trHeight w:val="980"/>
          <w:jc w:val="center"/>
        </w:trPr>
        <w:tc>
          <w:tcPr>
            <w:tcW w:w="995" w:type="dxa"/>
            <w:vMerge w:val="restart"/>
            <w:shd w:val="clear" w:color="auto" w:fill="auto"/>
            <w:vAlign w:val="center"/>
          </w:tcPr>
          <w:p w14:paraId="1EE88C4D" w14:textId="27BF8552" w:rsidR="00735AB9" w:rsidRPr="00431D11" w:rsidRDefault="00735AB9" w:rsidP="00735AB9">
            <w:pPr>
              <w:widowControl w:val="0"/>
              <w:jc w:val="center"/>
            </w:pPr>
            <w:r>
              <w:t>AA-002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B2CA1" w14:textId="15B9B090" w:rsidR="00735AB9" w:rsidRDefault="00735AB9" w:rsidP="00706A32">
            <w:pPr>
              <w:spacing w:before="120" w:after="120"/>
              <w:jc w:val="center"/>
            </w:pPr>
            <w:r>
              <w:t>SO</w:t>
            </w:r>
            <w:r w:rsidRPr="00AC6A39">
              <w:rPr>
                <w:vertAlign w:val="subscript"/>
              </w:rPr>
              <w:t>2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0157" w14:textId="68D03896" w:rsidR="00735AB9" w:rsidRPr="00431D11" w:rsidRDefault="00735AB9" w:rsidP="00706A32">
            <w:pPr>
              <w:widowControl w:val="0"/>
              <w:jc w:val="center"/>
            </w:pPr>
            <w:r w:rsidRPr="00735AB9">
              <w:rPr>
                <w:bCs/>
              </w:rPr>
              <w:t>Federally Enforceable Permit to Construct Issued on May 24, 1988 and Modified on September 17, 1999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453B" w14:textId="77777777" w:rsidR="00735AB9" w:rsidRDefault="00735AB9" w:rsidP="00232075">
            <w:pPr>
              <w:widowControl w:val="0"/>
              <w:jc w:val="center"/>
            </w:pPr>
            <w:r>
              <w:t>2.3 Pounds / Hour</w:t>
            </w:r>
          </w:p>
          <w:p w14:paraId="2C586864" w14:textId="77777777" w:rsidR="00735AB9" w:rsidRPr="00AC6A39" w:rsidRDefault="00735AB9" w:rsidP="00232075">
            <w:pPr>
              <w:widowControl w:val="0"/>
              <w:jc w:val="center"/>
              <w:rPr>
                <w:sz w:val="10"/>
                <w:szCs w:val="10"/>
              </w:rPr>
            </w:pPr>
          </w:p>
          <w:p w14:paraId="0B5C532E" w14:textId="675A325C" w:rsidR="00735AB9" w:rsidRDefault="00735AB9" w:rsidP="00232075">
            <w:pPr>
              <w:widowControl w:val="0"/>
              <w:jc w:val="center"/>
            </w:pPr>
            <w:r>
              <w:t xml:space="preserve">10.1 </w:t>
            </w:r>
            <w:proofErr w:type="spellStart"/>
            <w:r>
              <w:t>tpy</w:t>
            </w:r>
            <w:proofErr w:type="spellEnd"/>
            <w:r>
              <w:t xml:space="preserve"> (Rolling 12-Month Total)</w:t>
            </w:r>
          </w:p>
        </w:tc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C6D4" w14:textId="37D47947" w:rsidR="00735AB9" w:rsidRPr="00431D11" w:rsidRDefault="00735AB9" w:rsidP="00706A32">
            <w:pPr>
              <w:spacing w:before="120" w:after="120"/>
              <w:jc w:val="center"/>
            </w:pPr>
            <w:r w:rsidRPr="00735AB9">
              <w:rPr>
                <w:bCs/>
              </w:rPr>
              <w:t>The facility shall conduct routine performance stack testing to demonstrate compliance with each hourly emission rate limitation (with the exception of VOCs and SO</w:t>
            </w:r>
            <w:r w:rsidRPr="00735AB9">
              <w:rPr>
                <w:bCs/>
                <w:vertAlign w:val="subscript"/>
              </w:rPr>
              <w:t>2</w:t>
            </w:r>
            <w:r w:rsidRPr="00735AB9">
              <w:rPr>
                <w:bCs/>
              </w:rPr>
              <w:t>).</w:t>
            </w:r>
          </w:p>
        </w:tc>
      </w:tr>
      <w:tr w:rsidR="00735AB9" w:rsidRPr="00431D11" w14:paraId="529182C2" w14:textId="77777777" w:rsidTr="002B0AD0">
        <w:trPr>
          <w:trHeight w:val="980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14:paraId="768DE85C" w14:textId="1E256CF0" w:rsidR="00735AB9" w:rsidRDefault="00735AB9" w:rsidP="00706A32">
            <w:pPr>
              <w:widowControl w:val="0"/>
              <w:jc w:val="center"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7F7ED" w14:textId="2657EA06" w:rsidR="00735AB9" w:rsidRDefault="00735AB9" w:rsidP="00706A32">
            <w:pPr>
              <w:spacing w:before="120" w:after="120"/>
              <w:jc w:val="center"/>
            </w:pPr>
            <w:r>
              <w:t>VOCs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0527" w14:textId="77777777" w:rsidR="00735AB9" w:rsidRPr="00431D11" w:rsidRDefault="00735AB9" w:rsidP="00706A32">
            <w:pPr>
              <w:widowControl w:val="0"/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1DDE" w14:textId="77777777" w:rsidR="00735AB9" w:rsidRDefault="00735AB9" w:rsidP="00232075">
            <w:pPr>
              <w:widowControl w:val="0"/>
              <w:jc w:val="center"/>
            </w:pPr>
            <w:r>
              <w:t>8.0 Pounds / Hour</w:t>
            </w:r>
          </w:p>
          <w:p w14:paraId="4A8C29DE" w14:textId="77777777" w:rsidR="00735AB9" w:rsidRPr="00766A18" w:rsidRDefault="00735AB9" w:rsidP="00232075">
            <w:pPr>
              <w:widowControl w:val="0"/>
              <w:jc w:val="center"/>
              <w:rPr>
                <w:sz w:val="10"/>
                <w:szCs w:val="10"/>
              </w:rPr>
            </w:pPr>
          </w:p>
          <w:p w14:paraId="18C5A301" w14:textId="20A4A4FD" w:rsidR="00735AB9" w:rsidRDefault="00735AB9" w:rsidP="00232075">
            <w:pPr>
              <w:widowControl w:val="0"/>
              <w:jc w:val="center"/>
            </w:pPr>
            <w:r>
              <w:t xml:space="preserve">36.0 </w:t>
            </w:r>
            <w:proofErr w:type="spellStart"/>
            <w:r>
              <w:t>tpy</w:t>
            </w:r>
            <w:proofErr w:type="spellEnd"/>
            <w:r>
              <w:t xml:space="preserve"> (Rolling 12-Month Total)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1E2C" w14:textId="2DE2AD48" w:rsidR="00735AB9" w:rsidRDefault="00735AB9" w:rsidP="00706A32">
            <w:pPr>
              <w:spacing w:before="120" w:after="120"/>
              <w:jc w:val="center"/>
            </w:pPr>
          </w:p>
        </w:tc>
      </w:tr>
      <w:tr w:rsidR="00C021C4" w:rsidRPr="00431D11" w14:paraId="1501CBE8" w14:textId="77777777" w:rsidTr="002B0AD0">
        <w:trPr>
          <w:trHeight w:val="1430"/>
          <w:jc w:val="center"/>
        </w:trPr>
        <w:tc>
          <w:tcPr>
            <w:tcW w:w="995" w:type="dxa"/>
            <w:vMerge w:val="restart"/>
            <w:shd w:val="clear" w:color="auto" w:fill="auto"/>
            <w:vAlign w:val="center"/>
          </w:tcPr>
          <w:p w14:paraId="5D0E2A30" w14:textId="682D8E5A" w:rsidR="00C021C4" w:rsidRPr="00431D11" w:rsidRDefault="00C021C4" w:rsidP="00706A32">
            <w:pPr>
              <w:widowControl w:val="0"/>
              <w:jc w:val="center"/>
            </w:pPr>
            <w:r>
              <w:t>AA-004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03755107" w14:textId="3DC1AF3B" w:rsidR="00C021C4" w:rsidRPr="00B005F3" w:rsidRDefault="00C021C4" w:rsidP="00706A32">
            <w:pPr>
              <w:spacing w:before="120" w:after="120"/>
              <w:jc w:val="center"/>
            </w:pPr>
            <w:r>
              <w:t>PM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6B22800" w14:textId="77777777" w:rsidR="00C021C4" w:rsidRPr="007418A3" w:rsidRDefault="00C021C4" w:rsidP="00706A32">
            <w:pPr>
              <w:widowControl w:val="0"/>
              <w:jc w:val="center"/>
              <w:rPr>
                <w:bCs/>
              </w:rPr>
            </w:pPr>
            <w:r w:rsidRPr="007418A3">
              <w:rPr>
                <w:bCs/>
              </w:rPr>
              <w:t>11 Miss. Admin. Code Pt. 2, R. 2.2.B</w:t>
            </w:r>
            <w:proofErr w:type="gramStart"/>
            <w:r w:rsidRPr="007418A3">
              <w:rPr>
                <w:bCs/>
              </w:rPr>
              <w:t>.(</w:t>
            </w:r>
            <w:proofErr w:type="gramEnd"/>
            <w:r w:rsidRPr="007418A3">
              <w:rPr>
                <w:bCs/>
              </w:rPr>
              <w:t>10).</w:t>
            </w:r>
          </w:p>
          <w:p w14:paraId="3BB55327" w14:textId="77777777" w:rsidR="00C021C4" w:rsidRPr="007418A3" w:rsidRDefault="00C021C4" w:rsidP="00706A32">
            <w:pPr>
              <w:widowControl w:val="0"/>
              <w:jc w:val="center"/>
              <w:rPr>
                <w:bCs/>
                <w:sz w:val="10"/>
                <w:szCs w:val="10"/>
              </w:rPr>
            </w:pPr>
          </w:p>
          <w:p w14:paraId="3643E020" w14:textId="77777777" w:rsidR="00C021C4" w:rsidRPr="00B005F3" w:rsidRDefault="00C021C4" w:rsidP="00706A32">
            <w:pPr>
              <w:widowControl w:val="0"/>
              <w:jc w:val="center"/>
            </w:pPr>
            <w:r w:rsidRPr="007418A3">
              <w:rPr>
                <w:bCs/>
              </w:rPr>
              <w:t>11 Miss. Admin. Code Pt. 2, R. 1.10.B.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A7055A8" w14:textId="77777777" w:rsidR="00C021C4" w:rsidRPr="004D61B2" w:rsidRDefault="00C021C4" w:rsidP="004D61B2">
            <w:pPr>
              <w:jc w:val="center"/>
            </w:pPr>
            <w:r w:rsidRPr="004D61B2">
              <w:t>0.6 pounds / MMBTU per hour,</w:t>
            </w:r>
          </w:p>
          <w:p w14:paraId="3292E21A" w14:textId="77777777" w:rsidR="00C021C4" w:rsidRPr="004D61B2" w:rsidRDefault="00C021C4" w:rsidP="004D61B2">
            <w:pPr>
              <w:jc w:val="center"/>
              <w:rPr>
                <w:sz w:val="10"/>
                <w:szCs w:val="10"/>
              </w:rPr>
            </w:pPr>
          </w:p>
          <w:p w14:paraId="47F8D1A4" w14:textId="77777777" w:rsidR="00C021C4" w:rsidRPr="004D61B2" w:rsidRDefault="00C021C4" w:rsidP="004D61B2">
            <w:pPr>
              <w:jc w:val="center"/>
            </w:pPr>
            <w:r w:rsidRPr="004D61B2">
              <w:t>or</w:t>
            </w:r>
          </w:p>
          <w:p w14:paraId="2F8F6462" w14:textId="77777777" w:rsidR="00C021C4" w:rsidRPr="004D61B2" w:rsidRDefault="00C021C4" w:rsidP="004D61B2">
            <w:pPr>
              <w:widowControl w:val="0"/>
              <w:jc w:val="center"/>
              <w:rPr>
                <w:sz w:val="10"/>
                <w:szCs w:val="10"/>
              </w:rPr>
            </w:pPr>
          </w:p>
          <w:p w14:paraId="64FA071C" w14:textId="2B0ADB58" w:rsidR="00C021C4" w:rsidRPr="00B005F3" w:rsidRDefault="00C021C4" w:rsidP="004D61B2">
            <w:pPr>
              <w:widowControl w:val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E=0.8808(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-0.1667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3150" w:type="dxa"/>
            <w:shd w:val="clear" w:color="auto" w:fill="auto"/>
            <w:vAlign w:val="center"/>
          </w:tcPr>
          <w:p w14:paraId="66EFB50E" w14:textId="307E1E7C" w:rsidR="00C021C4" w:rsidRDefault="00C021C4" w:rsidP="00040C5B">
            <w:pPr>
              <w:spacing w:before="120" w:after="120"/>
              <w:jc w:val="center"/>
            </w:pPr>
            <w:r>
              <w:t>Given that the facility can only combust natural gas or fuel oil within a temporary boiler, the margin of compliance with either applicable standard should be significant.</w:t>
            </w:r>
          </w:p>
        </w:tc>
      </w:tr>
      <w:tr w:rsidR="00C021C4" w:rsidRPr="00431D11" w14:paraId="0228D67A" w14:textId="77777777" w:rsidTr="002B0AD0">
        <w:trPr>
          <w:trHeight w:val="2132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14:paraId="64D6143C" w14:textId="7306FF0B" w:rsidR="00C021C4" w:rsidRDefault="00C021C4" w:rsidP="00977F51">
            <w:pPr>
              <w:widowControl w:val="0"/>
              <w:jc w:val="center"/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03D3321E" w14:textId="245E4829" w:rsidR="00C021C4" w:rsidRPr="00A1311B" w:rsidRDefault="00C021C4" w:rsidP="00977F51">
            <w:pPr>
              <w:spacing w:before="120" w:after="120"/>
              <w:jc w:val="center"/>
            </w:pPr>
            <w:r w:rsidRPr="00977F51">
              <w:rPr>
                <w:bCs/>
              </w:rPr>
              <w:t>Operational / Emission Standards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3E32A41" w14:textId="77777777" w:rsidR="00766A18" w:rsidRDefault="00766A18" w:rsidP="00977F51">
            <w:pPr>
              <w:widowControl w:val="0"/>
              <w:jc w:val="center"/>
              <w:rPr>
                <w:bCs/>
              </w:rPr>
            </w:pPr>
            <w:r w:rsidRPr="00766A18">
              <w:rPr>
                <w:bCs/>
              </w:rPr>
              <w:t>Federally Enforceable Permit to Construct Issued on July 26, 1994; Modified by Title V Operating Permit Issued on April 13, 2005 and on Issuance Date Herein</w:t>
            </w:r>
          </w:p>
          <w:p w14:paraId="1F1C7AAF" w14:textId="77777777" w:rsidR="00766A18" w:rsidRPr="00766A18" w:rsidRDefault="00766A18" w:rsidP="00977F51">
            <w:pPr>
              <w:widowControl w:val="0"/>
              <w:jc w:val="center"/>
              <w:rPr>
                <w:bCs/>
                <w:sz w:val="10"/>
                <w:szCs w:val="10"/>
              </w:rPr>
            </w:pPr>
          </w:p>
          <w:p w14:paraId="58366716" w14:textId="7BCBB756" w:rsidR="00C021C4" w:rsidRPr="00766A18" w:rsidRDefault="00766A18" w:rsidP="00977F51">
            <w:pPr>
              <w:widowControl w:val="0"/>
              <w:jc w:val="center"/>
              <w:rPr>
                <w:bCs/>
              </w:rPr>
            </w:pPr>
            <w:r w:rsidRPr="00766A18">
              <w:rPr>
                <w:bCs/>
              </w:rPr>
              <w:t>11 Miss. Admin. Code Pt. 2, R. 2.15.C.</w:t>
            </w:r>
          </w:p>
        </w:tc>
        <w:tc>
          <w:tcPr>
            <w:tcW w:w="2160" w:type="dxa"/>
            <w:vAlign w:val="center"/>
          </w:tcPr>
          <w:p w14:paraId="3A1DAE0E" w14:textId="01759D49" w:rsidR="00C021C4" w:rsidRPr="00A1311B" w:rsidRDefault="00C021C4" w:rsidP="00977F51">
            <w:pPr>
              <w:widowControl w:val="0"/>
              <w:jc w:val="center"/>
            </w:pPr>
            <w:r>
              <w:t xml:space="preserve">Operate Temporary </w:t>
            </w:r>
            <w:r w:rsidRPr="00903686">
              <w:t>Boiler</w:t>
            </w:r>
            <w:r>
              <w:t>(</w:t>
            </w:r>
            <w:r w:rsidRPr="00903686">
              <w:t>s</w:t>
            </w:r>
            <w:r>
              <w:t>)</w:t>
            </w:r>
            <w:r w:rsidRPr="00903686">
              <w:t xml:space="preserve"> in Accordance with Emission Standards and Applicable Operating Scenarios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FAB1A9E" w14:textId="197D577D" w:rsidR="00C021C4" w:rsidRDefault="00C021C4" w:rsidP="002B0AD0">
            <w:pPr>
              <w:spacing w:before="120" w:after="120"/>
              <w:jc w:val="center"/>
            </w:pPr>
            <w:r>
              <w:t>The facility shall</w:t>
            </w:r>
            <w:r w:rsidR="002B0AD0">
              <w:t xml:space="preserve"> calculate emissions using applicable AP-42 emission factors</w:t>
            </w:r>
            <w:r>
              <w:t xml:space="preserve">, </w:t>
            </w:r>
            <w:r w:rsidR="002B0AD0">
              <w:t xml:space="preserve">record </w:t>
            </w:r>
            <w:r>
              <w:t>the volume of fuel</w:t>
            </w:r>
            <w:r w:rsidR="002B0AD0">
              <w:t xml:space="preserve"> oil</w:t>
            </w:r>
            <w:r>
              <w:t xml:space="preserve"> combusted daily</w:t>
            </w:r>
            <w:r w:rsidR="002B0AD0">
              <w:t xml:space="preserve"> (as applicable)</w:t>
            </w:r>
            <w:r>
              <w:t xml:space="preserve">, and </w:t>
            </w:r>
            <w:r w:rsidR="002B0AD0">
              <w:t xml:space="preserve">maintain </w:t>
            </w:r>
            <w:r>
              <w:t xml:space="preserve">the sulfur content of any fuel </w:t>
            </w:r>
            <w:r w:rsidR="002B0AD0">
              <w:t xml:space="preserve">oil </w:t>
            </w:r>
            <w:r>
              <w:t>combusted</w:t>
            </w:r>
            <w:r w:rsidR="002B0AD0">
              <w:t xml:space="preserve"> (as applicable)</w:t>
            </w:r>
            <w:r>
              <w:t>.</w:t>
            </w:r>
          </w:p>
        </w:tc>
      </w:tr>
      <w:tr w:rsidR="00FD231C" w:rsidRPr="00431D11" w14:paraId="5EA23567" w14:textId="77777777" w:rsidTr="00B4421D">
        <w:trPr>
          <w:trHeight w:val="1340"/>
          <w:jc w:val="center"/>
        </w:trPr>
        <w:tc>
          <w:tcPr>
            <w:tcW w:w="995" w:type="dxa"/>
            <w:vMerge w:val="restart"/>
            <w:shd w:val="clear" w:color="auto" w:fill="auto"/>
            <w:vAlign w:val="center"/>
          </w:tcPr>
          <w:p w14:paraId="0D340D1C" w14:textId="77777777" w:rsidR="00FD231C" w:rsidRDefault="00FD231C" w:rsidP="00977F51">
            <w:pPr>
              <w:widowControl w:val="0"/>
              <w:jc w:val="center"/>
            </w:pPr>
            <w:r>
              <w:t>AK-001</w:t>
            </w:r>
          </w:p>
          <w:p w14:paraId="37F51B95" w14:textId="0F8B180C" w:rsidR="00FD231C" w:rsidRDefault="00FD231C" w:rsidP="00977F51">
            <w:pPr>
              <w:widowControl w:val="0"/>
              <w:jc w:val="center"/>
            </w:pPr>
            <w:r>
              <w:t>through</w:t>
            </w:r>
          </w:p>
          <w:p w14:paraId="5D1F5DB7" w14:textId="3A566B20" w:rsidR="00FD231C" w:rsidRDefault="00FD231C" w:rsidP="00977F51">
            <w:pPr>
              <w:widowControl w:val="0"/>
              <w:jc w:val="center"/>
            </w:pPr>
            <w:r>
              <w:t>AK-028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75B2461" w14:textId="04D85B1C" w:rsidR="00FD231C" w:rsidRPr="004D61B2" w:rsidRDefault="00FD231C" w:rsidP="00977F51">
            <w:pPr>
              <w:spacing w:before="120" w:after="120"/>
              <w:jc w:val="center"/>
              <w:rPr>
                <w:bCs/>
              </w:rPr>
            </w:pPr>
            <w:r w:rsidRPr="00FD231C">
              <w:rPr>
                <w:bCs/>
              </w:rPr>
              <w:t>Dried Lumber Throughput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27DADB6" w14:textId="77777777" w:rsidR="00FD231C" w:rsidRPr="00FD231C" w:rsidRDefault="00FD231C" w:rsidP="00FD231C">
            <w:pPr>
              <w:widowControl w:val="0"/>
              <w:jc w:val="center"/>
              <w:rPr>
                <w:bCs/>
              </w:rPr>
            </w:pPr>
            <w:r w:rsidRPr="00FD231C">
              <w:rPr>
                <w:bCs/>
              </w:rPr>
              <w:t>Federally Enforceable Permit to Construct Issued on October 3, 2018</w:t>
            </w:r>
          </w:p>
          <w:p w14:paraId="1A7DEFAB" w14:textId="77777777" w:rsidR="00FD231C" w:rsidRPr="00FD231C" w:rsidRDefault="00FD231C" w:rsidP="00FD231C">
            <w:pPr>
              <w:widowControl w:val="0"/>
              <w:rPr>
                <w:bCs/>
                <w:sz w:val="10"/>
                <w:szCs w:val="10"/>
              </w:rPr>
            </w:pPr>
          </w:p>
          <w:p w14:paraId="1E8F4A1F" w14:textId="6C6030B6" w:rsidR="00FD231C" w:rsidRDefault="00FD231C" w:rsidP="00FD231C">
            <w:pPr>
              <w:widowControl w:val="0"/>
              <w:jc w:val="center"/>
              <w:rPr>
                <w:bCs/>
              </w:rPr>
            </w:pPr>
            <w:r w:rsidRPr="00FD231C">
              <w:rPr>
                <w:b/>
                <w:bCs/>
              </w:rPr>
              <w:t>(PSD Avoidance Limit)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B5988" w14:textId="37CCEAF8" w:rsidR="00FD231C" w:rsidRDefault="00FD231C" w:rsidP="00977F51">
            <w:pPr>
              <w:widowControl w:val="0"/>
              <w:jc w:val="center"/>
            </w:pPr>
            <w:r w:rsidRPr="00FD231C">
              <w:t>115,000.0 MBF Softwood Per Year (for Combined Kilns; Rolling 12-Month Period)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646A12F" w14:textId="48A2FBDC" w:rsidR="00FD231C" w:rsidRDefault="00C021C4" w:rsidP="00977F51">
            <w:pPr>
              <w:spacing w:before="120" w:after="120"/>
              <w:jc w:val="center"/>
            </w:pPr>
            <w:r>
              <w:t>The facility shall monitor and record the throughput of softwood dried in all kilns both weekly and on a rolling 52-week period.</w:t>
            </w:r>
          </w:p>
        </w:tc>
      </w:tr>
      <w:tr w:rsidR="00FD231C" w:rsidRPr="00431D11" w14:paraId="2AE5C3FE" w14:textId="77777777" w:rsidTr="00B4421D">
        <w:trPr>
          <w:trHeight w:val="1340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14:paraId="212A0CA9" w14:textId="77777777" w:rsidR="00FD231C" w:rsidRDefault="00FD231C" w:rsidP="00977F51">
            <w:pPr>
              <w:widowControl w:val="0"/>
              <w:jc w:val="center"/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6534662A" w14:textId="00A26F13" w:rsidR="00FD231C" w:rsidRPr="00FD231C" w:rsidRDefault="00FD231C" w:rsidP="00977F51">
            <w:pPr>
              <w:spacing w:before="120" w:after="120"/>
              <w:jc w:val="center"/>
              <w:rPr>
                <w:bCs/>
              </w:rPr>
            </w:pPr>
            <w:r w:rsidRPr="00FD231C">
              <w:rPr>
                <w:bCs/>
              </w:rPr>
              <w:t>Final Moisture Content (Softwood)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64050FF" w14:textId="60AC61A1" w:rsidR="00FD231C" w:rsidRPr="00FD231C" w:rsidRDefault="00FD231C" w:rsidP="00FD231C">
            <w:pPr>
              <w:widowControl w:val="0"/>
              <w:jc w:val="center"/>
              <w:rPr>
                <w:bCs/>
              </w:rPr>
            </w:pPr>
            <w:r w:rsidRPr="00FD231C">
              <w:rPr>
                <w:bCs/>
              </w:rPr>
              <w:t>Federally Enforceable Permit to Construct Issued on October 3, 2018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700428" w14:textId="675456CF" w:rsidR="00FD231C" w:rsidRPr="00FD231C" w:rsidRDefault="00FD231C" w:rsidP="00977F51">
            <w:pPr>
              <w:widowControl w:val="0"/>
              <w:jc w:val="center"/>
            </w:pPr>
            <w:r w:rsidRPr="00FD231C">
              <w:t>≥ 12%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05C2AE1" w14:textId="2F74535A" w:rsidR="00FD231C" w:rsidRDefault="00C021C4" w:rsidP="00977F51">
            <w:pPr>
              <w:spacing w:before="120" w:after="120"/>
              <w:jc w:val="center"/>
            </w:pPr>
            <w:r>
              <w:t>The facility shall m</w:t>
            </w:r>
            <w:r w:rsidRPr="00B005F3">
              <w:t xml:space="preserve">onitor </w:t>
            </w:r>
            <w:r>
              <w:t>and record the m</w:t>
            </w:r>
            <w:r w:rsidRPr="00B005F3">
              <w:t xml:space="preserve">oisture </w:t>
            </w:r>
            <w:r>
              <w:t>c</w:t>
            </w:r>
            <w:r w:rsidRPr="00B005F3">
              <w:t xml:space="preserve">ontent of </w:t>
            </w:r>
            <w:r>
              <w:t>d</w:t>
            </w:r>
            <w:r w:rsidRPr="00B005F3">
              <w:t xml:space="preserve">ried </w:t>
            </w:r>
            <w:r>
              <w:t>l</w:t>
            </w:r>
            <w:r w:rsidRPr="00B005F3">
              <w:t xml:space="preserve">umber </w:t>
            </w:r>
            <w:r>
              <w:t>p</w:t>
            </w:r>
            <w:r w:rsidRPr="00B005F3">
              <w:t xml:space="preserve">rocessed in </w:t>
            </w:r>
            <w:r>
              <w:t>p</w:t>
            </w:r>
            <w:r w:rsidRPr="00B005F3">
              <w:t xml:space="preserve">laner </w:t>
            </w:r>
            <w:r>
              <w:t>m</w:t>
            </w:r>
            <w:r w:rsidRPr="00B005F3">
              <w:t xml:space="preserve">ill </w:t>
            </w:r>
            <w:r>
              <w:t>area based on a r</w:t>
            </w:r>
            <w:r w:rsidRPr="00B005F3">
              <w:t>olling 12-</w:t>
            </w:r>
            <w:r>
              <w:t>m</w:t>
            </w:r>
            <w:r w:rsidRPr="00B005F3">
              <w:t xml:space="preserve">onth </w:t>
            </w:r>
            <w:r>
              <w:t>a</w:t>
            </w:r>
            <w:r w:rsidRPr="00B005F3">
              <w:t>verage</w:t>
            </w:r>
            <w:r>
              <w:t xml:space="preserve">. </w:t>
            </w:r>
          </w:p>
        </w:tc>
      </w:tr>
    </w:tbl>
    <w:p w14:paraId="2CA5525B" w14:textId="1974E06F" w:rsidR="002E3B96" w:rsidRDefault="002E3B96" w:rsidP="00531513">
      <w:pPr>
        <w:rPr>
          <w:sz w:val="24"/>
          <w:szCs w:val="24"/>
        </w:rPr>
      </w:pPr>
    </w:p>
    <w:p w14:paraId="05AC38F1" w14:textId="77777777" w:rsidR="0030325F" w:rsidRDefault="0030325F" w:rsidP="0030325F">
      <w:pPr>
        <w:pStyle w:val="NoSpacing"/>
        <w:rPr>
          <w:sz w:val="24"/>
          <w:szCs w:val="24"/>
          <w:u w:val="single"/>
        </w:rPr>
      </w:pPr>
      <w:r w:rsidRPr="008D4493">
        <w:rPr>
          <w:sz w:val="24"/>
          <w:szCs w:val="24"/>
          <w:u w:val="single"/>
        </w:rPr>
        <w:t>PUBLIC PARTICIPATION</w:t>
      </w:r>
    </w:p>
    <w:p w14:paraId="3B112EB9" w14:textId="77777777" w:rsidR="0030325F" w:rsidRDefault="0030325F" w:rsidP="0030325F">
      <w:pPr>
        <w:pStyle w:val="NoSpacing"/>
        <w:rPr>
          <w:sz w:val="24"/>
          <w:szCs w:val="24"/>
          <w:u w:val="single"/>
        </w:rPr>
      </w:pPr>
    </w:p>
    <w:p w14:paraId="33D2BEA4" w14:textId="208B86AA" w:rsidR="002E3B96" w:rsidRDefault="0030325F" w:rsidP="0030325F">
      <w:pPr>
        <w:rPr>
          <w:sz w:val="24"/>
          <w:szCs w:val="24"/>
        </w:rPr>
      </w:pPr>
      <w:r w:rsidRPr="008D4493">
        <w:rPr>
          <w:sz w:val="24"/>
          <w:szCs w:val="24"/>
        </w:rPr>
        <w:t xml:space="preserve">The 30-day public notice period will begin </w:t>
      </w:r>
      <w:r>
        <w:rPr>
          <w:sz w:val="24"/>
          <w:szCs w:val="24"/>
        </w:rPr>
        <w:t xml:space="preserve">on </w:t>
      </w:r>
      <w:r w:rsidR="000B4A90">
        <w:rPr>
          <w:sz w:val="24"/>
          <w:szCs w:val="24"/>
        </w:rPr>
        <w:t>March 25, 2020</w:t>
      </w:r>
      <w:r>
        <w:rPr>
          <w:sz w:val="24"/>
          <w:szCs w:val="24"/>
        </w:rPr>
        <w:t xml:space="preserve"> </w:t>
      </w:r>
      <w:r w:rsidRPr="008D4493">
        <w:rPr>
          <w:sz w:val="24"/>
          <w:szCs w:val="24"/>
        </w:rPr>
        <w:t xml:space="preserve">and will end on </w:t>
      </w:r>
      <w:r w:rsidR="000B4A90">
        <w:rPr>
          <w:sz w:val="24"/>
          <w:szCs w:val="24"/>
        </w:rPr>
        <w:t>April 24, 2020</w:t>
      </w:r>
      <w:r w:rsidRPr="008D4493">
        <w:rPr>
          <w:sz w:val="24"/>
          <w:szCs w:val="24"/>
        </w:rPr>
        <w:t xml:space="preserve"> with a copy of the</w:t>
      </w:r>
      <w:r>
        <w:rPr>
          <w:sz w:val="24"/>
          <w:szCs w:val="24"/>
        </w:rPr>
        <w:t xml:space="preserve"> notice </w:t>
      </w:r>
      <w:proofErr w:type="gramStart"/>
      <w:r>
        <w:rPr>
          <w:sz w:val="24"/>
          <w:szCs w:val="24"/>
        </w:rPr>
        <w:t>being published</w:t>
      </w:r>
      <w:proofErr w:type="gramEnd"/>
      <w:r>
        <w:rPr>
          <w:sz w:val="24"/>
          <w:szCs w:val="24"/>
        </w:rPr>
        <w:t xml:space="preserve"> in the </w:t>
      </w:r>
      <w:r w:rsidR="000B4A90">
        <w:rPr>
          <w:sz w:val="24"/>
          <w:szCs w:val="24"/>
        </w:rPr>
        <w:t>Vicksburg Post</w:t>
      </w:r>
      <w:r w:rsidRPr="008D4493">
        <w:rPr>
          <w:sz w:val="24"/>
          <w:szCs w:val="24"/>
        </w:rPr>
        <w:t>.</w:t>
      </w:r>
    </w:p>
    <w:p w14:paraId="516D90E7" w14:textId="4728D2A8" w:rsidR="0048090B" w:rsidRPr="006F0510" w:rsidRDefault="0048090B" w:rsidP="00104CE2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801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color w:val="4F81BD" w:themeColor="accent1"/>
          <w:sz w:val="24"/>
          <w:szCs w:val="24"/>
        </w:rPr>
      </w:pPr>
    </w:p>
    <w:p w14:paraId="516D90E8" w14:textId="77777777" w:rsidR="00BA3BCF" w:rsidRDefault="00BA3BCF" w:rsidP="00104CE2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801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4"/>
          <w:szCs w:val="24"/>
        </w:rPr>
      </w:pPr>
    </w:p>
    <w:p w14:paraId="516D90E9" w14:textId="77777777" w:rsidR="00BA3BCF" w:rsidRPr="00BA3BCF" w:rsidRDefault="00BA3BCF" w:rsidP="00BA3BCF">
      <w:pP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801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32"/>
          <w:szCs w:val="24"/>
        </w:rPr>
      </w:pPr>
    </w:p>
    <w:sectPr w:rsidR="00BA3BCF" w:rsidRPr="00BA3BCF" w:rsidSect="00421490">
      <w:headerReference w:type="default" r:id="rId7"/>
      <w:footerReference w:type="default" r:id="rId8"/>
      <w:pgSz w:w="12240" w:h="15840" w:code="1"/>
      <w:pgMar w:top="1440" w:right="1440" w:bottom="1440" w:left="1440" w:header="43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BC1F3" w14:textId="77777777" w:rsidR="003851B3" w:rsidRDefault="003851B3">
      <w:r>
        <w:separator/>
      </w:r>
    </w:p>
  </w:endnote>
  <w:endnote w:type="continuationSeparator" w:id="0">
    <w:p w14:paraId="3EBD4C39" w14:textId="77777777" w:rsidR="003851B3" w:rsidRDefault="0038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D90F1" w14:textId="77777777" w:rsidR="005E1C12" w:rsidRPr="00AC6A39" w:rsidRDefault="005E1C12">
    <w:pPr>
      <w:pStyle w:val="Footer"/>
      <w:tabs>
        <w:tab w:val="clear" w:pos="8640"/>
        <w:tab w:val="right" w:pos="9270"/>
      </w:tabs>
    </w:pPr>
    <w:bookmarkStart w:id="1" w:name="aiid"/>
    <w:r w:rsidRPr="00AC6A39">
      <w:t>1536</w:t>
    </w:r>
    <w:bookmarkEnd w:id="1"/>
    <w:r w:rsidRPr="00AC6A39">
      <w:t xml:space="preserve"> PER20190002</w:t>
    </w:r>
    <w:r w:rsidRPr="00AC6A39">
      <w:tab/>
    </w:r>
    <w:r w:rsidRPr="00AC6A3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00811" w14:textId="77777777" w:rsidR="003851B3" w:rsidRDefault="003851B3">
      <w:r>
        <w:separator/>
      </w:r>
    </w:p>
  </w:footnote>
  <w:footnote w:type="continuationSeparator" w:id="0">
    <w:p w14:paraId="7FB04A1A" w14:textId="77777777" w:rsidR="003851B3" w:rsidRDefault="0038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D90EE" w14:textId="6DEB6D31" w:rsidR="00BC4760" w:rsidRPr="00BC4760" w:rsidRDefault="00BC4760">
    <w:pPr>
      <w:pStyle w:val="Header"/>
      <w:jc w:val="right"/>
      <w:rPr>
        <w:sz w:val="24"/>
        <w:szCs w:val="24"/>
      </w:rPr>
    </w:pPr>
    <w:r w:rsidRPr="00BC4760">
      <w:rPr>
        <w:sz w:val="24"/>
        <w:szCs w:val="24"/>
      </w:rPr>
      <w:t xml:space="preserve">Information Relative to the Title V </w:t>
    </w:r>
    <w:r w:rsidR="00D818C2">
      <w:rPr>
        <w:sz w:val="24"/>
        <w:szCs w:val="24"/>
      </w:rPr>
      <w:t xml:space="preserve">Operating </w:t>
    </w:r>
    <w:r w:rsidRPr="00BC4760">
      <w:rPr>
        <w:sz w:val="24"/>
        <w:szCs w:val="24"/>
      </w:rPr>
      <w:t>Permit</w:t>
    </w:r>
  </w:p>
  <w:p w14:paraId="516D90EF" w14:textId="1B948487" w:rsidR="00BC4760" w:rsidRDefault="00BC4760">
    <w:pPr>
      <w:pStyle w:val="Header"/>
      <w:jc w:val="right"/>
    </w:pPr>
    <w:r w:rsidRPr="00BC4760">
      <w:rPr>
        <w:sz w:val="24"/>
        <w:szCs w:val="24"/>
      </w:rPr>
      <w:t xml:space="preserve">Page </w:t>
    </w:r>
    <w:r w:rsidRPr="00BC4760">
      <w:rPr>
        <w:bCs/>
        <w:sz w:val="24"/>
        <w:szCs w:val="24"/>
      </w:rPr>
      <w:fldChar w:fldCharType="begin"/>
    </w:r>
    <w:r w:rsidRPr="00BC4760">
      <w:rPr>
        <w:bCs/>
        <w:sz w:val="24"/>
        <w:szCs w:val="24"/>
      </w:rPr>
      <w:instrText xml:space="preserve"> PAGE </w:instrText>
    </w:r>
    <w:r w:rsidRPr="00BC4760">
      <w:rPr>
        <w:bCs/>
        <w:sz w:val="24"/>
        <w:szCs w:val="24"/>
      </w:rPr>
      <w:fldChar w:fldCharType="separate"/>
    </w:r>
    <w:r w:rsidR="00D818C2">
      <w:rPr>
        <w:bCs/>
        <w:noProof/>
        <w:sz w:val="24"/>
        <w:szCs w:val="24"/>
      </w:rPr>
      <w:t>7</w:t>
    </w:r>
    <w:r w:rsidRPr="00BC4760">
      <w:rPr>
        <w:bCs/>
        <w:sz w:val="24"/>
        <w:szCs w:val="24"/>
      </w:rPr>
      <w:fldChar w:fldCharType="end"/>
    </w:r>
    <w:r w:rsidRPr="00BC4760">
      <w:rPr>
        <w:sz w:val="24"/>
        <w:szCs w:val="24"/>
      </w:rPr>
      <w:t xml:space="preserve"> of </w:t>
    </w:r>
    <w:r w:rsidRPr="00BC4760">
      <w:rPr>
        <w:bCs/>
        <w:sz w:val="24"/>
        <w:szCs w:val="24"/>
      </w:rPr>
      <w:fldChar w:fldCharType="begin"/>
    </w:r>
    <w:r w:rsidRPr="00BC4760">
      <w:rPr>
        <w:bCs/>
        <w:sz w:val="24"/>
        <w:szCs w:val="24"/>
      </w:rPr>
      <w:instrText xml:space="preserve"> NUMPAGES  </w:instrText>
    </w:r>
    <w:r w:rsidRPr="00BC4760">
      <w:rPr>
        <w:bCs/>
        <w:sz w:val="24"/>
        <w:szCs w:val="24"/>
      </w:rPr>
      <w:fldChar w:fldCharType="separate"/>
    </w:r>
    <w:r w:rsidR="00D818C2">
      <w:rPr>
        <w:bCs/>
        <w:noProof/>
        <w:sz w:val="24"/>
        <w:szCs w:val="24"/>
      </w:rPr>
      <w:t>7</w:t>
    </w:r>
    <w:r w:rsidRPr="00BC4760">
      <w:rPr>
        <w:bCs/>
        <w:sz w:val="24"/>
        <w:szCs w:val="24"/>
      </w:rPr>
      <w:fldChar w:fldCharType="end"/>
    </w:r>
  </w:p>
  <w:p w14:paraId="516D90F0" w14:textId="77777777" w:rsidR="00BC4760" w:rsidRDefault="00BC4760" w:rsidP="00BC47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D91"/>
    <w:multiLevelType w:val="hybridMultilevel"/>
    <w:tmpl w:val="494AF5C6"/>
    <w:lvl w:ilvl="0" w:tplc="6ACA5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0606BC"/>
    <w:multiLevelType w:val="hybridMultilevel"/>
    <w:tmpl w:val="FE186438"/>
    <w:lvl w:ilvl="0" w:tplc="607014B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D32EC7"/>
    <w:multiLevelType w:val="hybridMultilevel"/>
    <w:tmpl w:val="8D962DA0"/>
    <w:lvl w:ilvl="0" w:tplc="6ACA5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895A2C"/>
    <w:multiLevelType w:val="hybridMultilevel"/>
    <w:tmpl w:val="18409E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DF40CE"/>
    <w:multiLevelType w:val="hybridMultilevel"/>
    <w:tmpl w:val="CFCC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A05F3C"/>
    <w:multiLevelType w:val="hybridMultilevel"/>
    <w:tmpl w:val="89EE0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9580C"/>
    <w:multiLevelType w:val="hybridMultilevel"/>
    <w:tmpl w:val="7B62D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37D95"/>
    <w:multiLevelType w:val="hybridMultilevel"/>
    <w:tmpl w:val="D938C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5D"/>
    <w:rsid w:val="000306D6"/>
    <w:rsid w:val="00040C5B"/>
    <w:rsid w:val="00050B6A"/>
    <w:rsid w:val="0005117D"/>
    <w:rsid w:val="00083009"/>
    <w:rsid w:val="000B4592"/>
    <w:rsid w:val="000B4A90"/>
    <w:rsid w:val="000E622C"/>
    <w:rsid w:val="00100176"/>
    <w:rsid w:val="00104CE2"/>
    <w:rsid w:val="00114E75"/>
    <w:rsid w:val="00116779"/>
    <w:rsid w:val="0013146E"/>
    <w:rsid w:val="00141F9A"/>
    <w:rsid w:val="00145E23"/>
    <w:rsid w:val="00147D3A"/>
    <w:rsid w:val="00151AE0"/>
    <w:rsid w:val="0016142B"/>
    <w:rsid w:val="00161C17"/>
    <w:rsid w:val="00176C11"/>
    <w:rsid w:val="0018210B"/>
    <w:rsid w:val="001B4C36"/>
    <w:rsid w:val="001B63BC"/>
    <w:rsid w:val="001C7F2D"/>
    <w:rsid w:val="00232075"/>
    <w:rsid w:val="00252D8B"/>
    <w:rsid w:val="0025327D"/>
    <w:rsid w:val="00272DF9"/>
    <w:rsid w:val="0027582F"/>
    <w:rsid w:val="00284E69"/>
    <w:rsid w:val="002A62E3"/>
    <w:rsid w:val="002B0AD0"/>
    <w:rsid w:val="002C22B6"/>
    <w:rsid w:val="002D58EE"/>
    <w:rsid w:val="002E3B96"/>
    <w:rsid w:val="0030325F"/>
    <w:rsid w:val="0030387F"/>
    <w:rsid w:val="0032395F"/>
    <w:rsid w:val="003569E6"/>
    <w:rsid w:val="00357DC3"/>
    <w:rsid w:val="003851B3"/>
    <w:rsid w:val="003B0FAD"/>
    <w:rsid w:val="003C2807"/>
    <w:rsid w:val="003E1CD8"/>
    <w:rsid w:val="003F7CF6"/>
    <w:rsid w:val="00421490"/>
    <w:rsid w:val="00430F3D"/>
    <w:rsid w:val="004433D4"/>
    <w:rsid w:val="00461018"/>
    <w:rsid w:val="004630BB"/>
    <w:rsid w:val="00471345"/>
    <w:rsid w:val="0048090B"/>
    <w:rsid w:val="00493687"/>
    <w:rsid w:val="0049771A"/>
    <w:rsid w:val="004D61B2"/>
    <w:rsid w:val="00500944"/>
    <w:rsid w:val="00506848"/>
    <w:rsid w:val="00524E5F"/>
    <w:rsid w:val="00531513"/>
    <w:rsid w:val="00533EFC"/>
    <w:rsid w:val="005459AC"/>
    <w:rsid w:val="00573932"/>
    <w:rsid w:val="00580BDE"/>
    <w:rsid w:val="00595509"/>
    <w:rsid w:val="00596820"/>
    <w:rsid w:val="005C46A6"/>
    <w:rsid w:val="005D0C80"/>
    <w:rsid w:val="005E1C12"/>
    <w:rsid w:val="005E5D7D"/>
    <w:rsid w:val="005F6106"/>
    <w:rsid w:val="00665743"/>
    <w:rsid w:val="0069240F"/>
    <w:rsid w:val="00696ED7"/>
    <w:rsid w:val="006A2FCD"/>
    <w:rsid w:val="006B2FD6"/>
    <w:rsid w:val="006B4D57"/>
    <w:rsid w:val="006C2C8E"/>
    <w:rsid w:val="006D06EF"/>
    <w:rsid w:val="006E74C7"/>
    <w:rsid w:val="006F0510"/>
    <w:rsid w:val="00710838"/>
    <w:rsid w:val="007237B1"/>
    <w:rsid w:val="00735AB9"/>
    <w:rsid w:val="007425A8"/>
    <w:rsid w:val="00755320"/>
    <w:rsid w:val="00756E55"/>
    <w:rsid w:val="00766A10"/>
    <w:rsid w:val="00766A18"/>
    <w:rsid w:val="00782312"/>
    <w:rsid w:val="00793524"/>
    <w:rsid w:val="007C1397"/>
    <w:rsid w:val="007D59A6"/>
    <w:rsid w:val="007E3FB0"/>
    <w:rsid w:val="007E6D99"/>
    <w:rsid w:val="007F6CC4"/>
    <w:rsid w:val="00833EBA"/>
    <w:rsid w:val="00852478"/>
    <w:rsid w:val="0086140E"/>
    <w:rsid w:val="0089117D"/>
    <w:rsid w:val="008A1F39"/>
    <w:rsid w:val="008A4995"/>
    <w:rsid w:val="008E604F"/>
    <w:rsid w:val="008F4EC0"/>
    <w:rsid w:val="00900E96"/>
    <w:rsid w:val="00913A3B"/>
    <w:rsid w:val="00921CF7"/>
    <w:rsid w:val="0093127B"/>
    <w:rsid w:val="00934A58"/>
    <w:rsid w:val="00941800"/>
    <w:rsid w:val="00963208"/>
    <w:rsid w:val="00972EE4"/>
    <w:rsid w:val="00977F51"/>
    <w:rsid w:val="00984B3A"/>
    <w:rsid w:val="009A1E5D"/>
    <w:rsid w:val="009B16DD"/>
    <w:rsid w:val="009C1C40"/>
    <w:rsid w:val="009C6F4F"/>
    <w:rsid w:val="009E3C18"/>
    <w:rsid w:val="009F02CF"/>
    <w:rsid w:val="00A033D4"/>
    <w:rsid w:val="00A219FF"/>
    <w:rsid w:val="00A31F25"/>
    <w:rsid w:val="00A35286"/>
    <w:rsid w:val="00A35584"/>
    <w:rsid w:val="00A7530F"/>
    <w:rsid w:val="00A83573"/>
    <w:rsid w:val="00A90788"/>
    <w:rsid w:val="00AA0887"/>
    <w:rsid w:val="00AB6090"/>
    <w:rsid w:val="00AC6A39"/>
    <w:rsid w:val="00AD7559"/>
    <w:rsid w:val="00AE4F70"/>
    <w:rsid w:val="00B27B7B"/>
    <w:rsid w:val="00B4421D"/>
    <w:rsid w:val="00BA3BCF"/>
    <w:rsid w:val="00BB77E5"/>
    <w:rsid w:val="00BC4760"/>
    <w:rsid w:val="00BF16FD"/>
    <w:rsid w:val="00C021C4"/>
    <w:rsid w:val="00C03681"/>
    <w:rsid w:val="00C159FA"/>
    <w:rsid w:val="00C340CC"/>
    <w:rsid w:val="00C362DA"/>
    <w:rsid w:val="00C50599"/>
    <w:rsid w:val="00C53F3A"/>
    <w:rsid w:val="00C72133"/>
    <w:rsid w:val="00C819AA"/>
    <w:rsid w:val="00CA1709"/>
    <w:rsid w:val="00CE0C8F"/>
    <w:rsid w:val="00D0538F"/>
    <w:rsid w:val="00D173FC"/>
    <w:rsid w:val="00D37435"/>
    <w:rsid w:val="00D543BA"/>
    <w:rsid w:val="00D65749"/>
    <w:rsid w:val="00D7182F"/>
    <w:rsid w:val="00D818C2"/>
    <w:rsid w:val="00D91E0B"/>
    <w:rsid w:val="00D9603D"/>
    <w:rsid w:val="00DA082B"/>
    <w:rsid w:val="00DA243C"/>
    <w:rsid w:val="00DD5DF1"/>
    <w:rsid w:val="00DF31AD"/>
    <w:rsid w:val="00E03D2E"/>
    <w:rsid w:val="00E302DE"/>
    <w:rsid w:val="00E32C65"/>
    <w:rsid w:val="00E34BB5"/>
    <w:rsid w:val="00E35EF0"/>
    <w:rsid w:val="00E60EA3"/>
    <w:rsid w:val="00E76429"/>
    <w:rsid w:val="00E77C66"/>
    <w:rsid w:val="00EC3D62"/>
    <w:rsid w:val="00ED6D14"/>
    <w:rsid w:val="00F11CCC"/>
    <w:rsid w:val="00F2153D"/>
    <w:rsid w:val="00F83CBF"/>
    <w:rsid w:val="00F925D0"/>
    <w:rsid w:val="00FC0485"/>
    <w:rsid w:val="00FD231C"/>
    <w:rsid w:val="00FD3166"/>
    <w:rsid w:val="00FD59AE"/>
    <w:rsid w:val="00FD6E4A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D906A"/>
  <w14:defaultImageDpi w14:val="0"/>
  <w15:docId w15:val="{01C182FC-1198-4493-826B-8F779546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00"/>
      </w:tabs>
      <w:outlineLv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90"/>
      </w:tabs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4860"/>
      </w:tabs>
      <w:spacing w:after="240"/>
      <w:ind w:left="4867"/>
      <w:outlineLvl w:val="2"/>
    </w:pPr>
    <w:rPr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320"/>
      </w:tabs>
      <w:ind w:left="4320" w:hanging="461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4320"/>
        <w:tab w:val="left" w:pos="4860"/>
        <w:tab w:val="left" w:pos="5220"/>
      </w:tabs>
      <w:ind w:left="3600"/>
      <w:outlineLvl w:val="5"/>
    </w:pPr>
    <w:rPr>
      <w:color w:val="00000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900"/>
      </w:tabs>
      <w:spacing w:before="120" w:after="120"/>
      <w:jc w:val="center"/>
      <w:outlineLvl w:val="6"/>
    </w:pPr>
    <w:rPr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90"/>
      </w:tabs>
      <w:jc w:val="center"/>
      <w:outlineLvl w:val="7"/>
    </w:pPr>
    <w:rPr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90"/>
      </w:tabs>
      <w:outlineLvl w:val="8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BodyText">
    <w:name w:val="Body Text"/>
    <w:basedOn w:val="Normal"/>
    <w:link w:val="BodyTextChar"/>
    <w:uiPriority w:val="99"/>
    <w:pPr>
      <w:widowControl w:val="0"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left" w:pos="900"/>
      </w:tabs>
      <w:spacing w:before="120" w:after="120"/>
      <w:jc w:val="both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paragraph" w:customStyle="1" w:styleId="ReferenceLine">
    <w:name w:val="Reference Line"/>
    <w:basedOn w:val="BodyText"/>
    <w:uiPriority w:val="99"/>
  </w:style>
  <w:style w:type="paragraph" w:customStyle="1" w:styleId="CcList">
    <w:name w:val="Cc List"/>
    <w:basedOn w:val="Normal"/>
    <w:uiPriority w:val="99"/>
    <w:pPr>
      <w:widowControl w:val="0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90"/>
      </w:tabs>
      <w:spacing w:after="240"/>
    </w:pPr>
    <w:rPr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tabs>
        <w:tab w:val="center" w:pos="4650"/>
      </w:tabs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5220"/>
      </w:tabs>
      <w:ind w:left="4320"/>
    </w:pPr>
    <w:rPr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5220"/>
      </w:tabs>
      <w:ind w:left="432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1"/>
    <w:aliases w:val="2,3"/>
    <w:uiPriority w:val="99"/>
    <w:pPr>
      <w:autoSpaceDE w:val="0"/>
      <w:autoSpaceDN w:val="0"/>
      <w:spacing w:after="0" w:line="240" w:lineRule="auto"/>
      <w:ind w:left="720"/>
    </w:pPr>
    <w:rPr>
      <w:rFonts w:ascii="CG Times" w:hAnsi="CG Times" w:cs="CG Times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10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01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101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1018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7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25A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96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 Field</vt:lpstr>
    </vt:vector>
  </TitlesOfParts>
  <Company>Office of Pollution Control</Company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 Field</dc:title>
  <dc:subject/>
  <dc:creator>Bruce Ferguson</dc:creator>
  <cp:keywords/>
  <dc:description/>
  <cp:lastModifiedBy>Jaricus Whitlock</cp:lastModifiedBy>
  <cp:revision>3</cp:revision>
  <cp:lastPrinted>2019-09-20T14:53:00Z</cp:lastPrinted>
  <dcterms:created xsi:type="dcterms:W3CDTF">2020-03-19T17:22:00Z</dcterms:created>
  <dcterms:modified xsi:type="dcterms:W3CDTF">2020-03-19T17:23:00Z</dcterms:modified>
</cp:coreProperties>
</file>