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C29AA" w14:textId="77777777" w:rsidR="005E1C12" w:rsidRDefault="005E1C12">
      <w:pPr>
        <w:jc w:val="center"/>
        <w:rPr>
          <w:b/>
          <w:bCs/>
          <w:sz w:val="32"/>
          <w:szCs w:val="32"/>
        </w:rPr>
      </w:pPr>
      <w:r>
        <w:rPr>
          <w:b/>
          <w:bCs/>
          <w:sz w:val="32"/>
          <w:szCs w:val="32"/>
        </w:rPr>
        <w:t>INFORMATION RELATIVE TO</w:t>
      </w:r>
      <w:r w:rsidR="00CC1957">
        <w:rPr>
          <w:b/>
          <w:bCs/>
          <w:sz w:val="32"/>
          <w:szCs w:val="32"/>
        </w:rPr>
        <w:t xml:space="preserve"> </w:t>
      </w:r>
    </w:p>
    <w:p w14:paraId="3B3C29AB" w14:textId="35617C05" w:rsidR="005E1C12" w:rsidRDefault="005E1C12">
      <w:pPr>
        <w:jc w:val="center"/>
        <w:rPr>
          <w:b/>
          <w:bCs/>
          <w:sz w:val="32"/>
          <w:szCs w:val="32"/>
        </w:rPr>
      </w:pPr>
      <w:r>
        <w:rPr>
          <w:b/>
          <w:bCs/>
          <w:sz w:val="32"/>
          <w:szCs w:val="32"/>
        </w:rPr>
        <w:t xml:space="preserve">THE </w:t>
      </w:r>
      <w:bookmarkStart w:id="0" w:name="_GoBack"/>
      <w:bookmarkEnd w:id="0"/>
      <w:r>
        <w:rPr>
          <w:b/>
          <w:bCs/>
          <w:sz w:val="32"/>
          <w:szCs w:val="32"/>
        </w:rPr>
        <w:t>TITLE V OPERATING PERMIT</w:t>
      </w:r>
    </w:p>
    <w:p w14:paraId="3B3C29AC" w14:textId="271F8C0A" w:rsidR="007E6D99" w:rsidRDefault="00A939F2">
      <w:pPr>
        <w:jc w:val="center"/>
        <w:rPr>
          <w:b/>
          <w:bCs/>
          <w:sz w:val="32"/>
          <w:szCs w:val="32"/>
        </w:rPr>
      </w:pPr>
      <w:r>
        <w:rPr>
          <w:b/>
          <w:bCs/>
          <w:sz w:val="32"/>
          <w:szCs w:val="32"/>
        </w:rPr>
        <w:t>September 11</w:t>
      </w:r>
      <w:r w:rsidR="006A1CB2">
        <w:rPr>
          <w:b/>
          <w:bCs/>
          <w:sz w:val="32"/>
          <w:szCs w:val="32"/>
        </w:rPr>
        <w:t>, 2020</w:t>
      </w:r>
    </w:p>
    <w:p w14:paraId="3B3C29AD" w14:textId="77777777" w:rsidR="005E1C12" w:rsidRDefault="005E1C12">
      <w:pPr>
        <w:jc w:val="center"/>
        <w:rPr>
          <w:sz w:val="24"/>
          <w:szCs w:val="24"/>
        </w:rPr>
      </w:pPr>
    </w:p>
    <w:p w14:paraId="3B3C29AE" w14:textId="77777777" w:rsidR="005E1C12" w:rsidRPr="006A52EB" w:rsidRDefault="006A52EB" w:rsidP="006A52EB">
      <w:pPr>
        <w:rPr>
          <w:sz w:val="24"/>
          <w:szCs w:val="24"/>
          <w:u w:val="single"/>
        </w:rPr>
      </w:pPr>
      <w:r w:rsidRPr="006A52EB">
        <w:rPr>
          <w:sz w:val="24"/>
          <w:szCs w:val="24"/>
          <w:u w:val="single"/>
        </w:rPr>
        <w:t>GENER</w:t>
      </w:r>
      <w:r>
        <w:rPr>
          <w:sz w:val="24"/>
          <w:szCs w:val="24"/>
          <w:u w:val="single"/>
        </w:rPr>
        <w:t>AL FACILITY INFORMATION</w:t>
      </w:r>
    </w:p>
    <w:p w14:paraId="3B3C29AF" w14:textId="29A7BEA6" w:rsidR="005E1C12" w:rsidRPr="006A52EB" w:rsidRDefault="006A52EB" w:rsidP="006A52EB">
      <w:pPr>
        <w:pStyle w:val="ReferenceLine"/>
        <w:widowControl/>
        <w:tabs>
          <w:tab w:val="left" w:pos="90"/>
        </w:tabs>
        <w:spacing w:after="0"/>
        <w:rPr>
          <w:bCs/>
        </w:rPr>
      </w:pPr>
      <w:r>
        <w:rPr>
          <w:b/>
          <w:bCs/>
        </w:rPr>
        <w:t xml:space="preserve">Facility Name:  </w:t>
      </w:r>
      <w:proofErr w:type="spellStart"/>
      <w:r w:rsidR="00A30098">
        <w:rPr>
          <w:bCs/>
        </w:rPr>
        <w:t>Biewer</w:t>
      </w:r>
      <w:proofErr w:type="spellEnd"/>
      <w:r w:rsidR="00A30098">
        <w:rPr>
          <w:bCs/>
        </w:rPr>
        <w:t xml:space="preserve"> Sawmill Newton, LLC</w:t>
      </w:r>
    </w:p>
    <w:p w14:paraId="3B3C29B0" w14:textId="4E9DD7BA" w:rsidR="006A52EB" w:rsidRDefault="006A52EB" w:rsidP="00681AD1">
      <w:pPr>
        <w:tabs>
          <w:tab w:val="left" w:pos="90"/>
        </w:tabs>
        <w:rPr>
          <w:bCs/>
          <w:snapToGrid w:val="0"/>
          <w:color w:val="000000"/>
          <w:sz w:val="24"/>
          <w:szCs w:val="24"/>
        </w:rPr>
      </w:pPr>
      <w:r w:rsidRPr="006A52EB">
        <w:rPr>
          <w:b/>
          <w:bCs/>
          <w:snapToGrid w:val="0"/>
          <w:color w:val="000000"/>
          <w:sz w:val="24"/>
          <w:szCs w:val="24"/>
        </w:rPr>
        <w:t>Facility Address:</w:t>
      </w:r>
      <w:r w:rsidR="00A30098">
        <w:rPr>
          <w:bCs/>
          <w:snapToGrid w:val="0"/>
          <w:color w:val="000000"/>
          <w:sz w:val="24"/>
          <w:szCs w:val="24"/>
        </w:rPr>
        <w:t xml:space="preserve">  331 Coliseum Drive; Newton, MS  39345</w:t>
      </w:r>
    </w:p>
    <w:p w14:paraId="3B3C29B5" w14:textId="7854CC19" w:rsidR="00CC1957" w:rsidRDefault="00A30098" w:rsidP="00681AD1">
      <w:pPr>
        <w:pStyle w:val="ReferenceLine"/>
        <w:widowControl/>
        <w:spacing w:after="0"/>
      </w:pPr>
      <w:r>
        <w:rPr>
          <w:b/>
        </w:rPr>
        <w:t xml:space="preserve">County:  </w:t>
      </w:r>
      <w:r w:rsidRPr="00A30098">
        <w:t>Newton</w:t>
      </w:r>
    </w:p>
    <w:p w14:paraId="3B3C29B6" w14:textId="6550218A" w:rsidR="00991620" w:rsidRPr="000C10C1" w:rsidRDefault="00991620" w:rsidP="00991620">
      <w:pPr>
        <w:pStyle w:val="ReferenceLine"/>
        <w:widowControl/>
        <w:spacing w:after="0"/>
        <w:rPr>
          <w:color w:val="FF0000"/>
        </w:rPr>
      </w:pPr>
      <w:r w:rsidRPr="00991620">
        <w:rPr>
          <w:b/>
        </w:rPr>
        <w:t xml:space="preserve">SIC Code(s): </w:t>
      </w:r>
      <w:r w:rsidR="00A30098" w:rsidRPr="00A30098">
        <w:t>2421</w:t>
      </w:r>
    </w:p>
    <w:p w14:paraId="3B3C29B7" w14:textId="463B7E3E" w:rsidR="00991620" w:rsidRPr="000C10C1" w:rsidRDefault="00991620" w:rsidP="00991620">
      <w:pPr>
        <w:pStyle w:val="ReferenceLine"/>
        <w:widowControl/>
        <w:spacing w:after="0"/>
        <w:rPr>
          <w:color w:val="FF0000"/>
        </w:rPr>
      </w:pPr>
      <w:r w:rsidRPr="00991620">
        <w:rPr>
          <w:b/>
        </w:rPr>
        <w:t>NAICS Code(s):</w:t>
      </w:r>
      <w:r w:rsidR="00A30098">
        <w:t xml:space="preserve">  321113</w:t>
      </w:r>
    </w:p>
    <w:p w14:paraId="3B3C29B8" w14:textId="77777777" w:rsidR="006A52EB" w:rsidRDefault="006A52EB" w:rsidP="00681AD1">
      <w:pPr>
        <w:pStyle w:val="ReferenceLine"/>
        <w:widowControl/>
        <w:spacing w:after="0"/>
        <w:rPr>
          <w:b/>
        </w:rPr>
      </w:pPr>
    </w:p>
    <w:p w14:paraId="3B3C29B9" w14:textId="77777777" w:rsidR="00681AD1" w:rsidRPr="00681AD1" w:rsidRDefault="00681AD1" w:rsidP="00681AD1">
      <w:pPr>
        <w:pStyle w:val="ReferenceLine"/>
        <w:widowControl/>
        <w:spacing w:after="0"/>
        <w:rPr>
          <w:u w:val="single"/>
        </w:rPr>
      </w:pPr>
      <w:r>
        <w:rPr>
          <w:u w:val="single"/>
        </w:rPr>
        <w:t xml:space="preserve">APPLICATION SUMMARY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356"/>
      </w:tblGrid>
      <w:tr w:rsidR="00681AD1" w14:paraId="3B3C29BC" w14:textId="77777777" w:rsidTr="00681AD1">
        <w:tc>
          <w:tcPr>
            <w:tcW w:w="5058" w:type="dxa"/>
          </w:tcPr>
          <w:p w14:paraId="3B3C29BA" w14:textId="00F4229A" w:rsidR="00681AD1" w:rsidRPr="00577CB8" w:rsidRDefault="00681AD1" w:rsidP="00101BCE">
            <w:pPr>
              <w:pStyle w:val="ReferenceLine"/>
              <w:widowControl/>
              <w:spacing w:before="60" w:after="60"/>
              <w:ind w:left="-105" w:right="168"/>
              <w:rPr>
                <w:color w:val="FF0000"/>
              </w:rPr>
            </w:pPr>
            <w:r w:rsidRPr="00681AD1">
              <w:rPr>
                <w:b/>
              </w:rPr>
              <w:t>Permit No.:</w:t>
            </w:r>
            <w:r w:rsidR="00101BCE">
              <w:rPr>
                <w:b/>
              </w:rPr>
              <w:t xml:space="preserve">  </w:t>
            </w:r>
            <w:r w:rsidR="00101BCE">
              <w:t>1980-00044</w:t>
            </w:r>
          </w:p>
        </w:tc>
        <w:tc>
          <w:tcPr>
            <w:tcW w:w="4518" w:type="dxa"/>
          </w:tcPr>
          <w:p w14:paraId="3B3C29BB" w14:textId="19C39A7C" w:rsidR="00681AD1" w:rsidRPr="00577CB8" w:rsidRDefault="00577CB8" w:rsidP="002278E2">
            <w:pPr>
              <w:pStyle w:val="ReferenceLine"/>
              <w:widowControl/>
              <w:spacing w:before="60" w:after="60"/>
              <w:ind w:left="285"/>
            </w:pPr>
            <w:r>
              <w:rPr>
                <w:b/>
              </w:rPr>
              <w:t>NSPS (Part 60):</w:t>
            </w:r>
            <w:r w:rsidR="00101BCE">
              <w:rPr>
                <w:b/>
              </w:rPr>
              <w:t xml:space="preserve">  </w:t>
            </w:r>
            <w:r w:rsidR="00101BCE" w:rsidRPr="00101BCE">
              <w:t>N/A</w:t>
            </w:r>
          </w:p>
        </w:tc>
      </w:tr>
      <w:tr w:rsidR="00681AD1" w14:paraId="3B3C29BF" w14:textId="77777777" w:rsidTr="00681AD1">
        <w:tc>
          <w:tcPr>
            <w:tcW w:w="5058" w:type="dxa"/>
          </w:tcPr>
          <w:p w14:paraId="3B3C29BD" w14:textId="63ED5360" w:rsidR="00681AD1" w:rsidRPr="00681AD1" w:rsidRDefault="00681AD1" w:rsidP="00101BCE">
            <w:pPr>
              <w:pStyle w:val="ReferenceLine"/>
              <w:widowControl/>
              <w:spacing w:before="60" w:after="60"/>
              <w:ind w:left="-105" w:right="168"/>
              <w:rPr>
                <w:color w:val="4F81BD"/>
              </w:rPr>
            </w:pPr>
            <w:r>
              <w:rPr>
                <w:b/>
              </w:rPr>
              <w:t xml:space="preserve">Permit Action: </w:t>
            </w:r>
            <w:r w:rsidRPr="00681AD1">
              <w:rPr>
                <w:b/>
              </w:rPr>
              <w:t xml:space="preserve"> </w:t>
            </w:r>
            <w:r w:rsidR="00101BCE" w:rsidRPr="00101BCE">
              <w:t>Initial Issuance</w:t>
            </w:r>
          </w:p>
        </w:tc>
        <w:tc>
          <w:tcPr>
            <w:tcW w:w="4518" w:type="dxa"/>
          </w:tcPr>
          <w:p w14:paraId="3B3C29BE" w14:textId="6BC46D13" w:rsidR="00681AD1" w:rsidRDefault="00101BCE" w:rsidP="002278E2">
            <w:pPr>
              <w:pStyle w:val="ReferenceLine"/>
              <w:widowControl/>
              <w:spacing w:before="60" w:after="60"/>
              <w:ind w:left="285"/>
              <w:rPr>
                <w:b/>
              </w:rPr>
            </w:pPr>
            <w:r>
              <w:rPr>
                <w:b/>
              </w:rPr>
              <w:t xml:space="preserve">NESHAP (Part 61):  </w:t>
            </w:r>
            <w:r w:rsidRPr="00101BCE">
              <w:t>N/A</w:t>
            </w:r>
          </w:p>
        </w:tc>
      </w:tr>
      <w:tr w:rsidR="00681AD1" w14:paraId="3B3C29C2" w14:textId="77777777" w:rsidTr="00681AD1">
        <w:tc>
          <w:tcPr>
            <w:tcW w:w="5058" w:type="dxa"/>
          </w:tcPr>
          <w:p w14:paraId="3B3C29C0" w14:textId="21995A4E" w:rsidR="00681AD1" w:rsidRPr="00577CB8" w:rsidRDefault="00101BCE" w:rsidP="00101BCE">
            <w:pPr>
              <w:pStyle w:val="ReferenceLine"/>
              <w:widowControl/>
              <w:spacing w:before="60" w:after="60"/>
              <w:ind w:left="-105" w:right="168"/>
              <w:rPr>
                <w:color w:val="FF0000"/>
              </w:rPr>
            </w:pPr>
            <w:r>
              <w:rPr>
                <w:b/>
              </w:rPr>
              <w:t xml:space="preserve">Permit Folder:  </w:t>
            </w:r>
            <w:r w:rsidRPr="00101BCE">
              <w:t>PER20170001</w:t>
            </w:r>
          </w:p>
        </w:tc>
        <w:tc>
          <w:tcPr>
            <w:tcW w:w="4518" w:type="dxa"/>
          </w:tcPr>
          <w:p w14:paraId="3B3C29C1" w14:textId="2F967D97" w:rsidR="00681AD1" w:rsidRDefault="00101BCE" w:rsidP="002278E2">
            <w:pPr>
              <w:pStyle w:val="ReferenceLine"/>
              <w:widowControl/>
              <w:spacing w:before="60" w:after="60"/>
              <w:ind w:left="285"/>
              <w:rPr>
                <w:b/>
              </w:rPr>
            </w:pPr>
            <w:r>
              <w:rPr>
                <w:b/>
              </w:rPr>
              <w:t xml:space="preserve">NESHAP (Part 63):  </w:t>
            </w:r>
            <w:r w:rsidRPr="00101BCE">
              <w:t>DDDD</w:t>
            </w:r>
          </w:p>
        </w:tc>
      </w:tr>
      <w:tr w:rsidR="00681AD1" w14:paraId="3B3C29C5" w14:textId="77777777" w:rsidTr="00681AD1">
        <w:tc>
          <w:tcPr>
            <w:tcW w:w="5058" w:type="dxa"/>
          </w:tcPr>
          <w:p w14:paraId="3CAE130A" w14:textId="77777777" w:rsidR="002278E2" w:rsidRDefault="00681AD1" w:rsidP="002278E2">
            <w:pPr>
              <w:pStyle w:val="ReferenceLine"/>
              <w:widowControl/>
              <w:spacing w:before="60" w:after="60"/>
              <w:ind w:left="-105" w:right="168"/>
            </w:pPr>
            <w:r>
              <w:rPr>
                <w:b/>
              </w:rPr>
              <w:t>Application Receipt Date</w:t>
            </w:r>
            <w:r w:rsidR="002278E2">
              <w:rPr>
                <w:b/>
              </w:rPr>
              <w:t xml:space="preserve">:  </w:t>
            </w:r>
            <w:r w:rsidR="002278E2" w:rsidRPr="002278E2">
              <w:t>12/13/2017 (initial)</w:t>
            </w:r>
          </w:p>
          <w:p w14:paraId="3B3C29C3" w14:textId="7E1F70C4" w:rsidR="00681AD1" w:rsidRPr="00CB077D" w:rsidRDefault="002278E2" w:rsidP="002278E2">
            <w:pPr>
              <w:pStyle w:val="ReferenceLine"/>
              <w:widowControl/>
              <w:spacing w:before="60" w:after="60"/>
              <w:ind w:left="2685" w:right="45" w:hanging="2790"/>
              <w:rPr>
                <w:color w:val="FF0000"/>
              </w:rPr>
            </w:pPr>
            <w:r>
              <w:rPr>
                <w:color w:val="FF0000"/>
              </w:rPr>
              <w:tab/>
            </w:r>
            <w:r w:rsidRPr="002278E2">
              <w:t>08/05/2020 (revised)</w:t>
            </w:r>
          </w:p>
        </w:tc>
        <w:tc>
          <w:tcPr>
            <w:tcW w:w="4518" w:type="dxa"/>
          </w:tcPr>
          <w:p w14:paraId="3B3C29C4" w14:textId="40FDE2EB" w:rsidR="00681AD1" w:rsidRDefault="00577CB8" w:rsidP="002278E2">
            <w:pPr>
              <w:pStyle w:val="ReferenceLine"/>
              <w:widowControl/>
              <w:spacing w:before="60" w:after="60"/>
              <w:ind w:left="285"/>
              <w:rPr>
                <w:b/>
              </w:rPr>
            </w:pPr>
            <w:r>
              <w:rPr>
                <w:b/>
              </w:rPr>
              <w:t>11</w:t>
            </w:r>
            <w:r w:rsidR="003A4126">
              <w:rPr>
                <w:b/>
              </w:rPr>
              <w:t>2(r) / RMP</w:t>
            </w:r>
            <w:r w:rsidR="00101BCE">
              <w:rPr>
                <w:b/>
              </w:rPr>
              <w:t xml:space="preserve">:  </w:t>
            </w:r>
            <w:r w:rsidR="00101BCE" w:rsidRPr="00101BCE">
              <w:t>N/A</w:t>
            </w:r>
          </w:p>
        </w:tc>
      </w:tr>
      <w:tr w:rsidR="000C10C1" w14:paraId="3B3C29C8" w14:textId="77777777" w:rsidTr="00681AD1">
        <w:tc>
          <w:tcPr>
            <w:tcW w:w="5058" w:type="dxa"/>
          </w:tcPr>
          <w:p w14:paraId="3B3C29C6" w14:textId="4DFB47A3" w:rsidR="000C10C1" w:rsidRPr="000C10C1" w:rsidRDefault="000C10C1" w:rsidP="00E3314F">
            <w:pPr>
              <w:pStyle w:val="ReferenceLine"/>
              <w:widowControl/>
              <w:spacing w:before="60" w:after="60"/>
              <w:ind w:left="-105" w:right="168"/>
            </w:pPr>
            <w:r>
              <w:rPr>
                <w:b/>
              </w:rPr>
              <w:t>Application Deemed Complete:</w:t>
            </w:r>
            <w:r w:rsidR="00E3314F">
              <w:rPr>
                <w:b/>
              </w:rPr>
              <w:t xml:space="preserve">  </w:t>
            </w:r>
            <w:r w:rsidR="00E3314F" w:rsidRPr="00E3314F">
              <w:t>N/A</w:t>
            </w:r>
          </w:p>
        </w:tc>
        <w:tc>
          <w:tcPr>
            <w:tcW w:w="4518" w:type="dxa"/>
          </w:tcPr>
          <w:p w14:paraId="3B3C29C7" w14:textId="232D5EA7" w:rsidR="000C10C1" w:rsidRDefault="00101BCE" w:rsidP="002278E2">
            <w:pPr>
              <w:pStyle w:val="ReferenceLine"/>
              <w:widowControl/>
              <w:spacing w:before="60" w:after="60"/>
              <w:ind w:left="285"/>
              <w:rPr>
                <w:b/>
              </w:rPr>
            </w:pPr>
            <w:r>
              <w:rPr>
                <w:b/>
              </w:rPr>
              <w:t xml:space="preserve">Other:  </w:t>
            </w:r>
            <w:r w:rsidRPr="00101BCE">
              <w:t>N/A</w:t>
            </w:r>
          </w:p>
        </w:tc>
      </w:tr>
      <w:tr w:rsidR="000C10C1" w14:paraId="3B3C29CB" w14:textId="77777777" w:rsidTr="00681AD1">
        <w:tc>
          <w:tcPr>
            <w:tcW w:w="5058" w:type="dxa"/>
          </w:tcPr>
          <w:p w14:paraId="3B3C29C9" w14:textId="19594DB8" w:rsidR="000C10C1" w:rsidRDefault="000C10C1" w:rsidP="00E3314F">
            <w:pPr>
              <w:pStyle w:val="ReferenceLine"/>
              <w:widowControl/>
              <w:spacing w:before="60" w:after="60"/>
              <w:ind w:left="-105" w:right="168"/>
              <w:rPr>
                <w:b/>
              </w:rPr>
            </w:pPr>
            <w:r>
              <w:rPr>
                <w:b/>
              </w:rPr>
              <w:t>CBI Submitted?:</w:t>
            </w:r>
            <w:r w:rsidR="00E3314F">
              <w:rPr>
                <w:b/>
              </w:rPr>
              <w:t xml:space="preserve">  </w:t>
            </w:r>
            <w:r w:rsidR="00E3314F" w:rsidRPr="00E3314F">
              <w:t>No</w:t>
            </w:r>
          </w:p>
        </w:tc>
        <w:tc>
          <w:tcPr>
            <w:tcW w:w="4518" w:type="dxa"/>
          </w:tcPr>
          <w:p w14:paraId="3B3C29CA" w14:textId="77777777" w:rsidR="000C10C1" w:rsidRDefault="000C10C1" w:rsidP="000C10C1">
            <w:pPr>
              <w:pStyle w:val="ReferenceLine"/>
              <w:widowControl/>
              <w:spacing w:before="60" w:after="60"/>
              <w:rPr>
                <w:b/>
              </w:rPr>
            </w:pPr>
          </w:p>
        </w:tc>
      </w:tr>
    </w:tbl>
    <w:p w14:paraId="3B3C29CC" w14:textId="77777777" w:rsidR="00681AD1" w:rsidRDefault="00681AD1" w:rsidP="00681AD1">
      <w:pPr>
        <w:pStyle w:val="ReferenceLine"/>
        <w:widowControl/>
        <w:spacing w:after="0"/>
        <w:rPr>
          <w:b/>
        </w:rPr>
      </w:pPr>
    </w:p>
    <w:p w14:paraId="6742667C" w14:textId="446A5BA9" w:rsidR="00E72AA1" w:rsidRDefault="00531513" w:rsidP="00104CE2">
      <w:pPr>
        <w:jc w:val="both"/>
        <w:rPr>
          <w:sz w:val="24"/>
          <w:szCs w:val="24"/>
        </w:rPr>
      </w:pPr>
      <w:r>
        <w:rPr>
          <w:sz w:val="24"/>
          <w:szCs w:val="24"/>
          <w:u w:val="single"/>
        </w:rPr>
        <w:t>FACILITY DESCRIPTION</w:t>
      </w:r>
    </w:p>
    <w:p w14:paraId="3B3C29CE" w14:textId="77996835" w:rsidR="00E60EA3" w:rsidRPr="00BA3BCF" w:rsidRDefault="00692216" w:rsidP="00104CE2">
      <w:pPr>
        <w:jc w:val="both"/>
        <w:rPr>
          <w:color w:val="4F81BD" w:themeColor="accent1"/>
          <w:sz w:val="24"/>
          <w:szCs w:val="24"/>
        </w:rPr>
      </w:pPr>
      <w:proofErr w:type="spellStart"/>
      <w:r>
        <w:rPr>
          <w:sz w:val="24"/>
          <w:szCs w:val="24"/>
        </w:rPr>
        <w:t>Biewer</w:t>
      </w:r>
      <w:proofErr w:type="spellEnd"/>
      <w:r>
        <w:rPr>
          <w:sz w:val="24"/>
          <w:szCs w:val="24"/>
        </w:rPr>
        <w:t xml:space="preserve"> Sawmill Newton, LLC (“</w:t>
      </w:r>
      <w:proofErr w:type="spellStart"/>
      <w:r>
        <w:rPr>
          <w:sz w:val="24"/>
          <w:szCs w:val="24"/>
        </w:rPr>
        <w:t>Biewer</w:t>
      </w:r>
      <w:proofErr w:type="spellEnd"/>
      <w:r>
        <w:rPr>
          <w:sz w:val="24"/>
          <w:szCs w:val="24"/>
        </w:rPr>
        <w:t>”)</w:t>
      </w:r>
      <w:r w:rsidRPr="00692216">
        <w:rPr>
          <w:sz w:val="24"/>
          <w:szCs w:val="24"/>
        </w:rPr>
        <w:t xml:space="preserve"> is an existing industrial facility that manufactures dried dimensional lumber from harvested southern yellow pine timber.  The operational path involves debarking pine timber and then creating green dimensional timber in the sawmill area.  The green lumber is then stacked and placed in </w:t>
      </w:r>
      <w:r w:rsidR="0068524D">
        <w:rPr>
          <w:sz w:val="24"/>
          <w:szCs w:val="24"/>
        </w:rPr>
        <w:t>four</w:t>
      </w:r>
      <w:r w:rsidRPr="00692216">
        <w:rPr>
          <w:sz w:val="24"/>
          <w:szCs w:val="24"/>
        </w:rPr>
        <w:t xml:space="preserve"> (</w:t>
      </w:r>
      <w:r w:rsidR="0068524D">
        <w:rPr>
          <w:sz w:val="24"/>
          <w:szCs w:val="24"/>
        </w:rPr>
        <w:t>4</w:t>
      </w:r>
      <w:r w:rsidRPr="00692216">
        <w:rPr>
          <w:sz w:val="24"/>
          <w:szCs w:val="24"/>
        </w:rPr>
        <w:t>) continuous direct-fired</w:t>
      </w:r>
      <w:r w:rsidR="00DD7E8A">
        <w:rPr>
          <w:sz w:val="24"/>
          <w:szCs w:val="24"/>
        </w:rPr>
        <w:t xml:space="preserve"> </w:t>
      </w:r>
      <w:r w:rsidRPr="00692216">
        <w:rPr>
          <w:sz w:val="24"/>
          <w:szCs w:val="24"/>
        </w:rPr>
        <w:t>lumber drying kiln</w:t>
      </w:r>
      <w:r w:rsidR="00DD7E8A">
        <w:rPr>
          <w:sz w:val="24"/>
          <w:szCs w:val="24"/>
        </w:rPr>
        <w:t>s (each fueled by natural gas)</w:t>
      </w:r>
      <w:r w:rsidRPr="00692216">
        <w:rPr>
          <w:sz w:val="24"/>
          <w:szCs w:val="24"/>
        </w:rPr>
        <w:t>.  The dried rough lumber is then finished (i.e. shaped to the requisite thickness, width, and length) in the planer mill.</w:t>
      </w:r>
    </w:p>
    <w:p w14:paraId="3B3C29CF" w14:textId="77777777" w:rsidR="00531513" w:rsidRDefault="00531513" w:rsidP="00104CE2">
      <w:pPr>
        <w:jc w:val="both"/>
        <w:rPr>
          <w:sz w:val="24"/>
          <w:szCs w:val="24"/>
        </w:rPr>
      </w:pPr>
    </w:p>
    <w:p w14:paraId="0F1E482C" w14:textId="02C5B19F" w:rsidR="00E72AA1" w:rsidRDefault="00531513" w:rsidP="00104CE2">
      <w:pPr>
        <w:jc w:val="both"/>
        <w:rPr>
          <w:sz w:val="24"/>
          <w:szCs w:val="24"/>
        </w:rPr>
      </w:pPr>
      <w:r>
        <w:rPr>
          <w:sz w:val="24"/>
          <w:szCs w:val="24"/>
          <w:u w:val="single"/>
        </w:rPr>
        <w:t xml:space="preserve">TITLE V </w:t>
      </w:r>
      <w:r w:rsidR="00BA3BCF">
        <w:rPr>
          <w:sz w:val="24"/>
          <w:szCs w:val="24"/>
          <w:u w:val="single"/>
        </w:rPr>
        <w:t>SOURCE</w:t>
      </w:r>
      <w:r>
        <w:rPr>
          <w:sz w:val="24"/>
          <w:szCs w:val="24"/>
          <w:u w:val="single"/>
        </w:rPr>
        <w:t xml:space="preserve"> APPLICABILITY </w:t>
      </w:r>
    </w:p>
    <w:p w14:paraId="3B3C29D2" w14:textId="7A5AF963" w:rsidR="00531513" w:rsidRDefault="0068524D" w:rsidP="00104CE2">
      <w:pPr>
        <w:jc w:val="both"/>
        <w:rPr>
          <w:sz w:val="24"/>
          <w:szCs w:val="24"/>
        </w:rPr>
      </w:pPr>
      <w:proofErr w:type="spellStart"/>
      <w:r>
        <w:rPr>
          <w:sz w:val="24"/>
          <w:szCs w:val="24"/>
        </w:rPr>
        <w:t>Biewer’s</w:t>
      </w:r>
      <w:proofErr w:type="spellEnd"/>
      <w:r w:rsidRPr="00E60EA3">
        <w:rPr>
          <w:sz w:val="24"/>
          <w:szCs w:val="24"/>
        </w:rPr>
        <w:t xml:space="preserve"> potential-to-emit </w:t>
      </w:r>
      <w:r>
        <w:rPr>
          <w:sz w:val="24"/>
          <w:szCs w:val="24"/>
        </w:rPr>
        <w:t>(PTE) exceeds</w:t>
      </w:r>
      <w:r w:rsidRPr="00E60EA3">
        <w:rPr>
          <w:sz w:val="24"/>
          <w:szCs w:val="24"/>
        </w:rPr>
        <w:t xml:space="preserve"> the Title V </w:t>
      </w:r>
      <w:r>
        <w:rPr>
          <w:sz w:val="24"/>
          <w:szCs w:val="24"/>
        </w:rPr>
        <w:t>major source threshold</w:t>
      </w:r>
      <w:r w:rsidRPr="00E60EA3">
        <w:rPr>
          <w:sz w:val="24"/>
          <w:szCs w:val="24"/>
        </w:rPr>
        <w:t xml:space="preserve"> of 100 tons</w:t>
      </w:r>
      <w:r>
        <w:rPr>
          <w:sz w:val="24"/>
          <w:szCs w:val="24"/>
        </w:rPr>
        <w:t xml:space="preserve"> per </w:t>
      </w:r>
      <w:r w:rsidRPr="00E60EA3">
        <w:rPr>
          <w:sz w:val="24"/>
          <w:szCs w:val="24"/>
        </w:rPr>
        <w:t xml:space="preserve">year </w:t>
      </w:r>
      <w:r>
        <w:rPr>
          <w:sz w:val="24"/>
          <w:szCs w:val="24"/>
        </w:rPr>
        <w:t>(</w:t>
      </w:r>
      <w:proofErr w:type="spellStart"/>
      <w:r>
        <w:rPr>
          <w:sz w:val="24"/>
          <w:szCs w:val="24"/>
        </w:rPr>
        <w:t>tpy</w:t>
      </w:r>
      <w:proofErr w:type="spellEnd"/>
      <w:r>
        <w:rPr>
          <w:sz w:val="24"/>
          <w:szCs w:val="24"/>
        </w:rPr>
        <w:t>) for volatile organic compounds (VOCs).  Additionally, t</w:t>
      </w:r>
      <w:r w:rsidRPr="00BA3BCF">
        <w:rPr>
          <w:sz w:val="24"/>
          <w:szCs w:val="24"/>
        </w:rPr>
        <w:t xml:space="preserve">he facility’s </w:t>
      </w:r>
      <w:r>
        <w:rPr>
          <w:sz w:val="24"/>
          <w:szCs w:val="24"/>
        </w:rPr>
        <w:t>PTE for</w:t>
      </w:r>
      <w:r w:rsidRPr="00BA3BCF">
        <w:rPr>
          <w:sz w:val="24"/>
          <w:szCs w:val="24"/>
        </w:rPr>
        <w:t xml:space="preserve"> </w:t>
      </w:r>
      <w:r>
        <w:rPr>
          <w:sz w:val="24"/>
          <w:szCs w:val="24"/>
        </w:rPr>
        <w:t xml:space="preserve">hazardous air pollutants (HAPs) exceeds the Title V major source threshold of 25.0 </w:t>
      </w:r>
      <w:proofErr w:type="spellStart"/>
      <w:r>
        <w:rPr>
          <w:sz w:val="24"/>
          <w:szCs w:val="24"/>
        </w:rPr>
        <w:t>tpy</w:t>
      </w:r>
      <w:proofErr w:type="spellEnd"/>
      <w:r>
        <w:rPr>
          <w:sz w:val="24"/>
          <w:szCs w:val="24"/>
        </w:rPr>
        <w:t xml:space="preserve"> for all HAPs</w:t>
      </w:r>
      <w:r w:rsidR="002612FF">
        <w:rPr>
          <w:sz w:val="24"/>
          <w:szCs w:val="24"/>
        </w:rPr>
        <w:t xml:space="preserve"> in total</w:t>
      </w:r>
      <w:r>
        <w:rPr>
          <w:sz w:val="24"/>
          <w:szCs w:val="24"/>
        </w:rPr>
        <w:t xml:space="preserve"> and 10.0 </w:t>
      </w:r>
      <w:proofErr w:type="spellStart"/>
      <w:r>
        <w:rPr>
          <w:sz w:val="24"/>
          <w:szCs w:val="24"/>
        </w:rPr>
        <w:t>tpy</w:t>
      </w:r>
      <w:proofErr w:type="spellEnd"/>
      <w:r>
        <w:rPr>
          <w:sz w:val="24"/>
          <w:szCs w:val="24"/>
        </w:rPr>
        <w:t xml:space="preserve"> for an individual HAP (</w:t>
      </w:r>
      <w:r w:rsidRPr="009B0668">
        <w:rPr>
          <w:sz w:val="24"/>
          <w:szCs w:val="24"/>
        </w:rPr>
        <w:t>specifically methanol)</w:t>
      </w:r>
      <w:r>
        <w:rPr>
          <w:sz w:val="24"/>
          <w:szCs w:val="24"/>
        </w:rPr>
        <w:t>.</w:t>
      </w:r>
    </w:p>
    <w:p w14:paraId="3B3C29D3" w14:textId="77777777" w:rsidR="009733EB" w:rsidRDefault="009733EB" w:rsidP="00104CE2">
      <w:pPr>
        <w:jc w:val="both"/>
        <w:rPr>
          <w:color w:val="4F81BD" w:themeColor="accent1"/>
          <w:sz w:val="24"/>
          <w:szCs w:val="24"/>
        </w:rPr>
      </w:pPr>
    </w:p>
    <w:p w14:paraId="3B3C29D4" w14:textId="77777777" w:rsidR="009733EB" w:rsidRPr="006A52EB" w:rsidRDefault="009733EB" w:rsidP="00577CB8">
      <w:pPr>
        <w:keepNext/>
        <w:jc w:val="both"/>
        <w:rPr>
          <w:b/>
          <w:sz w:val="24"/>
          <w:szCs w:val="24"/>
          <w:vertAlign w:val="superscript"/>
        </w:rPr>
      </w:pPr>
      <w:r>
        <w:rPr>
          <w:b/>
          <w:sz w:val="24"/>
          <w:szCs w:val="24"/>
        </w:rPr>
        <w:t>Facility-Wide Potential-to-Emit</w:t>
      </w:r>
      <w:r w:rsidR="00991620">
        <w:rPr>
          <w:b/>
          <w:sz w:val="24"/>
          <w:szCs w:val="24"/>
        </w:rPr>
        <w:t xml:space="preserve"> Summary</w:t>
      </w:r>
      <w:r w:rsidR="00ED2C87">
        <w:rPr>
          <w:b/>
          <w:sz w:val="24"/>
          <w:szCs w:val="24"/>
          <w:vertAlign w:val="superscript"/>
        </w:rPr>
        <w:t>1</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78"/>
        <w:gridCol w:w="2160"/>
      </w:tblGrid>
      <w:tr w:rsidR="009733EB" w14:paraId="3B3C29D8" w14:textId="77777777" w:rsidTr="00815F7F">
        <w:trPr>
          <w:tblHeader/>
        </w:trPr>
        <w:tc>
          <w:tcPr>
            <w:tcW w:w="3078" w:type="dxa"/>
            <w:tcBorders>
              <w:top w:val="double" w:sz="4" w:space="0" w:color="auto"/>
            </w:tcBorders>
            <w:shd w:val="clear" w:color="auto" w:fill="BFBFBF" w:themeFill="background1" w:themeFillShade="BF"/>
            <w:vAlign w:val="center"/>
          </w:tcPr>
          <w:p w14:paraId="3B3C29D5" w14:textId="77777777" w:rsidR="009733EB" w:rsidRPr="00815F7F" w:rsidRDefault="009733EB" w:rsidP="00815F7F">
            <w:pPr>
              <w:pStyle w:val="NoSpacing"/>
              <w:jc w:val="center"/>
              <w:rPr>
                <w:b/>
                <w:sz w:val="24"/>
                <w:szCs w:val="24"/>
              </w:rPr>
            </w:pPr>
            <w:r w:rsidRPr="00815F7F">
              <w:rPr>
                <w:b/>
                <w:sz w:val="24"/>
                <w:szCs w:val="24"/>
              </w:rPr>
              <w:t>Pollutant</w:t>
            </w:r>
          </w:p>
        </w:tc>
        <w:tc>
          <w:tcPr>
            <w:tcW w:w="2160" w:type="dxa"/>
            <w:tcBorders>
              <w:top w:val="double" w:sz="4" w:space="0" w:color="auto"/>
            </w:tcBorders>
            <w:shd w:val="clear" w:color="auto" w:fill="BFBFBF" w:themeFill="background1" w:themeFillShade="BF"/>
            <w:vAlign w:val="center"/>
          </w:tcPr>
          <w:p w14:paraId="3B3C29D6" w14:textId="77777777" w:rsidR="009733EB" w:rsidRPr="00815F7F" w:rsidRDefault="009733EB" w:rsidP="00815F7F">
            <w:pPr>
              <w:pStyle w:val="NoSpacing"/>
              <w:jc w:val="center"/>
              <w:rPr>
                <w:b/>
                <w:sz w:val="24"/>
                <w:szCs w:val="24"/>
              </w:rPr>
            </w:pPr>
            <w:r w:rsidRPr="00815F7F">
              <w:rPr>
                <w:b/>
                <w:sz w:val="24"/>
                <w:szCs w:val="24"/>
              </w:rPr>
              <w:t>PTE Emissions</w:t>
            </w:r>
          </w:p>
          <w:p w14:paraId="3B3C29D7" w14:textId="77777777" w:rsidR="009733EB" w:rsidRPr="00815F7F" w:rsidRDefault="009733EB" w:rsidP="00815F7F">
            <w:pPr>
              <w:pStyle w:val="NoSpacing"/>
              <w:jc w:val="center"/>
              <w:rPr>
                <w:b/>
                <w:sz w:val="24"/>
                <w:szCs w:val="24"/>
              </w:rPr>
            </w:pPr>
            <w:r w:rsidRPr="00815F7F">
              <w:rPr>
                <w:b/>
                <w:sz w:val="24"/>
                <w:szCs w:val="24"/>
              </w:rPr>
              <w:t>(tons/</w:t>
            </w:r>
            <w:proofErr w:type="spellStart"/>
            <w:r w:rsidRPr="00815F7F">
              <w:rPr>
                <w:b/>
                <w:sz w:val="24"/>
                <w:szCs w:val="24"/>
              </w:rPr>
              <w:t>yr</w:t>
            </w:r>
            <w:proofErr w:type="spellEnd"/>
            <w:r w:rsidRPr="00815F7F">
              <w:rPr>
                <w:b/>
                <w:sz w:val="24"/>
                <w:szCs w:val="24"/>
              </w:rPr>
              <w:t>)</w:t>
            </w:r>
          </w:p>
        </w:tc>
      </w:tr>
      <w:tr w:rsidR="009733EB" w14:paraId="3B3C29DB" w14:textId="77777777" w:rsidTr="00815F7F">
        <w:tc>
          <w:tcPr>
            <w:tcW w:w="3078" w:type="dxa"/>
            <w:vAlign w:val="center"/>
          </w:tcPr>
          <w:p w14:paraId="3B3C29D9" w14:textId="77777777" w:rsidR="009733EB" w:rsidRPr="006A52EB" w:rsidRDefault="009733EB" w:rsidP="00815F7F">
            <w:pPr>
              <w:spacing w:before="60" w:after="60"/>
              <w:jc w:val="center"/>
              <w:rPr>
                <w:sz w:val="24"/>
                <w:szCs w:val="24"/>
              </w:rPr>
            </w:pPr>
            <w:r>
              <w:rPr>
                <w:sz w:val="24"/>
                <w:szCs w:val="24"/>
              </w:rPr>
              <w:t>Particulate Matter</w:t>
            </w:r>
            <w:r w:rsidR="00D90F67">
              <w:rPr>
                <w:sz w:val="24"/>
                <w:szCs w:val="24"/>
              </w:rPr>
              <w:t xml:space="preserve"> (TSP)</w:t>
            </w:r>
          </w:p>
        </w:tc>
        <w:tc>
          <w:tcPr>
            <w:tcW w:w="2160" w:type="dxa"/>
            <w:vAlign w:val="center"/>
          </w:tcPr>
          <w:p w14:paraId="3B3C29DA" w14:textId="7F766FD1" w:rsidR="009733EB" w:rsidRPr="006A52EB" w:rsidRDefault="00815F7F" w:rsidP="00815F7F">
            <w:pPr>
              <w:spacing w:before="60" w:after="60"/>
              <w:jc w:val="center"/>
              <w:rPr>
                <w:sz w:val="24"/>
                <w:szCs w:val="24"/>
              </w:rPr>
            </w:pPr>
            <w:r>
              <w:rPr>
                <w:sz w:val="24"/>
                <w:szCs w:val="24"/>
              </w:rPr>
              <w:t>26.56</w:t>
            </w:r>
          </w:p>
        </w:tc>
      </w:tr>
      <w:tr w:rsidR="009733EB" w14:paraId="3B3C29DE" w14:textId="77777777" w:rsidTr="00815F7F">
        <w:tc>
          <w:tcPr>
            <w:tcW w:w="3078" w:type="dxa"/>
            <w:vAlign w:val="center"/>
          </w:tcPr>
          <w:p w14:paraId="3B3C29DC" w14:textId="77777777" w:rsidR="009733EB" w:rsidRPr="006A52EB" w:rsidRDefault="009733EB" w:rsidP="00815F7F">
            <w:pPr>
              <w:spacing w:before="60" w:after="60"/>
              <w:jc w:val="center"/>
              <w:rPr>
                <w:sz w:val="24"/>
                <w:szCs w:val="24"/>
                <w:vertAlign w:val="subscript"/>
              </w:rPr>
            </w:pPr>
            <w:r>
              <w:rPr>
                <w:sz w:val="24"/>
                <w:szCs w:val="24"/>
              </w:rPr>
              <w:t>PM</w:t>
            </w:r>
            <w:r>
              <w:rPr>
                <w:sz w:val="24"/>
                <w:szCs w:val="24"/>
                <w:vertAlign w:val="subscript"/>
              </w:rPr>
              <w:t>10</w:t>
            </w:r>
          </w:p>
        </w:tc>
        <w:tc>
          <w:tcPr>
            <w:tcW w:w="2160" w:type="dxa"/>
            <w:vAlign w:val="center"/>
          </w:tcPr>
          <w:p w14:paraId="3B3C29DD" w14:textId="2E8300F9" w:rsidR="009733EB" w:rsidRPr="006A52EB" w:rsidRDefault="00815F7F" w:rsidP="00815F7F">
            <w:pPr>
              <w:spacing w:before="60" w:after="60"/>
              <w:jc w:val="center"/>
              <w:rPr>
                <w:sz w:val="24"/>
                <w:szCs w:val="24"/>
              </w:rPr>
            </w:pPr>
            <w:r>
              <w:rPr>
                <w:sz w:val="24"/>
                <w:szCs w:val="24"/>
              </w:rPr>
              <w:t>15.49</w:t>
            </w:r>
          </w:p>
        </w:tc>
      </w:tr>
      <w:tr w:rsidR="009733EB" w14:paraId="3B3C29E1" w14:textId="77777777" w:rsidTr="00815F7F">
        <w:tc>
          <w:tcPr>
            <w:tcW w:w="3078" w:type="dxa"/>
            <w:vAlign w:val="center"/>
          </w:tcPr>
          <w:p w14:paraId="3B3C29DF" w14:textId="77777777" w:rsidR="009733EB" w:rsidRPr="006A52EB" w:rsidRDefault="009733EB" w:rsidP="00815F7F">
            <w:pPr>
              <w:spacing w:before="60" w:after="60"/>
              <w:jc w:val="center"/>
              <w:rPr>
                <w:sz w:val="24"/>
                <w:szCs w:val="24"/>
                <w:vertAlign w:val="subscript"/>
              </w:rPr>
            </w:pPr>
            <w:r>
              <w:rPr>
                <w:sz w:val="24"/>
                <w:szCs w:val="24"/>
              </w:rPr>
              <w:t>PM</w:t>
            </w:r>
            <w:r>
              <w:rPr>
                <w:sz w:val="24"/>
                <w:szCs w:val="24"/>
                <w:vertAlign w:val="subscript"/>
              </w:rPr>
              <w:t>2.5</w:t>
            </w:r>
          </w:p>
        </w:tc>
        <w:tc>
          <w:tcPr>
            <w:tcW w:w="2160" w:type="dxa"/>
            <w:vAlign w:val="center"/>
          </w:tcPr>
          <w:p w14:paraId="3B3C29E0" w14:textId="365B38D5" w:rsidR="009733EB" w:rsidRPr="006A52EB" w:rsidRDefault="00815F7F" w:rsidP="00815F7F">
            <w:pPr>
              <w:spacing w:before="60" w:after="60"/>
              <w:jc w:val="center"/>
              <w:rPr>
                <w:sz w:val="24"/>
                <w:szCs w:val="24"/>
              </w:rPr>
            </w:pPr>
            <w:r>
              <w:rPr>
                <w:sz w:val="24"/>
                <w:szCs w:val="24"/>
              </w:rPr>
              <w:t>10.47</w:t>
            </w:r>
          </w:p>
        </w:tc>
      </w:tr>
      <w:tr w:rsidR="009733EB" w14:paraId="3B3C29E4" w14:textId="77777777" w:rsidTr="00815F7F">
        <w:tc>
          <w:tcPr>
            <w:tcW w:w="3078" w:type="dxa"/>
            <w:vAlign w:val="center"/>
          </w:tcPr>
          <w:p w14:paraId="3B3C29E2" w14:textId="77777777" w:rsidR="009733EB" w:rsidRPr="006A52EB" w:rsidRDefault="00D90F67" w:rsidP="00815F7F">
            <w:pPr>
              <w:spacing w:before="60" w:after="60"/>
              <w:jc w:val="center"/>
              <w:rPr>
                <w:sz w:val="24"/>
                <w:szCs w:val="24"/>
              </w:rPr>
            </w:pPr>
            <w:r>
              <w:rPr>
                <w:sz w:val="24"/>
                <w:szCs w:val="24"/>
              </w:rPr>
              <w:t>Sulfur Dioxide (SO</w:t>
            </w:r>
            <w:r>
              <w:rPr>
                <w:sz w:val="24"/>
                <w:szCs w:val="24"/>
                <w:vertAlign w:val="subscript"/>
              </w:rPr>
              <w:t>2</w:t>
            </w:r>
            <w:r>
              <w:rPr>
                <w:sz w:val="24"/>
                <w:szCs w:val="24"/>
              </w:rPr>
              <w:t>)</w:t>
            </w:r>
          </w:p>
        </w:tc>
        <w:tc>
          <w:tcPr>
            <w:tcW w:w="2160" w:type="dxa"/>
            <w:vAlign w:val="center"/>
          </w:tcPr>
          <w:p w14:paraId="3B3C29E3" w14:textId="7EFAD884" w:rsidR="009733EB" w:rsidRPr="006A52EB" w:rsidRDefault="00815F7F" w:rsidP="00815F7F">
            <w:pPr>
              <w:spacing w:before="60" w:after="60"/>
              <w:jc w:val="center"/>
              <w:rPr>
                <w:sz w:val="24"/>
                <w:szCs w:val="24"/>
              </w:rPr>
            </w:pPr>
            <w:r>
              <w:rPr>
                <w:sz w:val="24"/>
                <w:szCs w:val="24"/>
              </w:rPr>
              <w:t>0.40</w:t>
            </w:r>
          </w:p>
        </w:tc>
      </w:tr>
      <w:tr w:rsidR="009733EB" w14:paraId="3B3C29E7" w14:textId="77777777" w:rsidTr="00815F7F">
        <w:tc>
          <w:tcPr>
            <w:tcW w:w="3078" w:type="dxa"/>
            <w:vAlign w:val="center"/>
          </w:tcPr>
          <w:p w14:paraId="3B3C29E5" w14:textId="2245A45F" w:rsidR="009733EB" w:rsidRPr="006A52EB" w:rsidRDefault="00D90F67" w:rsidP="00815F7F">
            <w:pPr>
              <w:spacing w:before="60" w:after="60"/>
              <w:jc w:val="center"/>
              <w:rPr>
                <w:sz w:val="24"/>
                <w:szCs w:val="24"/>
              </w:rPr>
            </w:pPr>
            <w:r>
              <w:rPr>
                <w:sz w:val="24"/>
                <w:szCs w:val="24"/>
              </w:rPr>
              <w:lastRenderedPageBreak/>
              <w:t>Nitrogen Oxides (NO</w:t>
            </w:r>
            <w:r w:rsidR="00815F7F">
              <w:rPr>
                <w:sz w:val="24"/>
                <w:szCs w:val="24"/>
                <w:vertAlign w:val="subscript"/>
              </w:rPr>
              <w:t>X</w:t>
            </w:r>
            <w:r>
              <w:rPr>
                <w:sz w:val="24"/>
                <w:szCs w:val="24"/>
              </w:rPr>
              <w:t>)</w:t>
            </w:r>
          </w:p>
        </w:tc>
        <w:tc>
          <w:tcPr>
            <w:tcW w:w="2160" w:type="dxa"/>
            <w:vAlign w:val="center"/>
          </w:tcPr>
          <w:p w14:paraId="3B3C29E6" w14:textId="6EA542A8" w:rsidR="009733EB" w:rsidRPr="006A52EB" w:rsidRDefault="00815F7F" w:rsidP="00815F7F">
            <w:pPr>
              <w:spacing w:before="60" w:after="60"/>
              <w:jc w:val="center"/>
              <w:rPr>
                <w:sz w:val="24"/>
                <w:szCs w:val="24"/>
              </w:rPr>
            </w:pPr>
            <w:r>
              <w:rPr>
                <w:sz w:val="24"/>
                <w:szCs w:val="24"/>
              </w:rPr>
              <w:t>34.14</w:t>
            </w:r>
          </w:p>
        </w:tc>
      </w:tr>
      <w:tr w:rsidR="009733EB" w14:paraId="3B3C29EA" w14:textId="77777777" w:rsidTr="00815F7F">
        <w:tc>
          <w:tcPr>
            <w:tcW w:w="3078" w:type="dxa"/>
            <w:vAlign w:val="center"/>
          </w:tcPr>
          <w:p w14:paraId="3B3C29E8" w14:textId="77777777" w:rsidR="009733EB" w:rsidRPr="006A52EB" w:rsidRDefault="00D90F67" w:rsidP="00815F7F">
            <w:pPr>
              <w:spacing w:before="60" w:after="60"/>
              <w:jc w:val="center"/>
              <w:rPr>
                <w:sz w:val="24"/>
                <w:szCs w:val="24"/>
              </w:rPr>
            </w:pPr>
            <w:r>
              <w:rPr>
                <w:sz w:val="24"/>
                <w:szCs w:val="24"/>
              </w:rPr>
              <w:t>Carbon Monoxide (CO)</w:t>
            </w:r>
          </w:p>
        </w:tc>
        <w:tc>
          <w:tcPr>
            <w:tcW w:w="2160" w:type="dxa"/>
            <w:vAlign w:val="center"/>
          </w:tcPr>
          <w:p w14:paraId="3B3C29E9" w14:textId="4932D502" w:rsidR="009733EB" w:rsidRPr="006A52EB" w:rsidRDefault="00815F7F" w:rsidP="00815F7F">
            <w:pPr>
              <w:spacing w:before="60" w:after="60"/>
              <w:jc w:val="center"/>
              <w:rPr>
                <w:sz w:val="24"/>
                <w:szCs w:val="24"/>
              </w:rPr>
            </w:pPr>
            <w:r>
              <w:rPr>
                <w:sz w:val="24"/>
                <w:szCs w:val="24"/>
              </w:rPr>
              <w:t>56.04</w:t>
            </w:r>
          </w:p>
        </w:tc>
      </w:tr>
      <w:tr w:rsidR="00D90F67" w14:paraId="3B3C29ED" w14:textId="77777777" w:rsidTr="00815F7F">
        <w:tc>
          <w:tcPr>
            <w:tcW w:w="3078" w:type="dxa"/>
            <w:vAlign w:val="center"/>
          </w:tcPr>
          <w:p w14:paraId="3B3C29EB" w14:textId="6FA4F690" w:rsidR="00D90F67" w:rsidRDefault="00D90F67" w:rsidP="00815F7F">
            <w:pPr>
              <w:spacing w:before="60" w:after="60"/>
              <w:jc w:val="center"/>
              <w:rPr>
                <w:sz w:val="24"/>
                <w:szCs w:val="24"/>
              </w:rPr>
            </w:pPr>
            <w:r>
              <w:rPr>
                <w:sz w:val="24"/>
                <w:szCs w:val="24"/>
              </w:rPr>
              <w:t>Volatile Organic Compounds (VOC</w:t>
            </w:r>
            <w:r w:rsidR="00815F7F">
              <w:rPr>
                <w:sz w:val="24"/>
                <w:szCs w:val="24"/>
              </w:rPr>
              <w:t>s</w:t>
            </w:r>
            <w:r>
              <w:rPr>
                <w:sz w:val="24"/>
                <w:szCs w:val="24"/>
              </w:rPr>
              <w:t>)</w:t>
            </w:r>
          </w:p>
        </w:tc>
        <w:tc>
          <w:tcPr>
            <w:tcW w:w="2160" w:type="dxa"/>
            <w:vAlign w:val="center"/>
          </w:tcPr>
          <w:p w14:paraId="3B3C29EC" w14:textId="118D5A2B" w:rsidR="00D90F67" w:rsidRPr="006A52EB" w:rsidRDefault="00815F7F" w:rsidP="00815F7F">
            <w:pPr>
              <w:spacing w:before="60" w:after="60"/>
              <w:jc w:val="center"/>
              <w:rPr>
                <w:sz w:val="24"/>
                <w:szCs w:val="24"/>
              </w:rPr>
            </w:pPr>
            <w:r>
              <w:rPr>
                <w:sz w:val="24"/>
                <w:szCs w:val="24"/>
              </w:rPr>
              <w:t>830.91</w:t>
            </w:r>
          </w:p>
        </w:tc>
      </w:tr>
      <w:tr w:rsidR="009733EB" w14:paraId="3B3C29F0" w14:textId="77777777" w:rsidTr="00815F7F">
        <w:tc>
          <w:tcPr>
            <w:tcW w:w="3078" w:type="dxa"/>
            <w:vAlign w:val="center"/>
          </w:tcPr>
          <w:p w14:paraId="3B3C29EE" w14:textId="77777777" w:rsidR="009733EB" w:rsidRPr="006A52EB" w:rsidRDefault="00280FAA" w:rsidP="00815F7F">
            <w:pPr>
              <w:spacing w:before="60" w:after="60"/>
              <w:jc w:val="center"/>
              <w:rPr>
                <w:sz w:val="24"/>
                <w:szCs w:val="24"/>
              </w:rPr>
            </w:pPr>
            <w:r>
              <w:rPr>
                <w:sz w:val="24"/>
                <w:szCs w:val="24"/>
              </w:rPr>
              <w:t>Total Reduced Sulfur (TRS)</w:t>
            </w:r>
          </w:p>
        </w:tc>
        <w:tc>
          <w:tcPr>
            <w:tcW w:w="2160" w:type="dxa"/>
            <w:vAlign w:val="center"/>
          </w:tcPr>
          <w:p w14:paraId="3B3C29EF" w14:textId="2340A499" w:rsidR="009733EB" w:rsidRPr="006A52EB" w:rsidRDefault="00815F7F" w:rsidP="00815F7F">
            <w:pPr>
              <w:spacing w:before="60" w:after="60"/>
              <w:jc w:val="center"/>
              <w:rPr>
                <w:sz w:val="24"/>
                <w:szCs w:val="24"/>
              </w:rPr>
            </w:pPr>
            <w:r>
              <w:rPr>
                <w:sz w:val="24"/>
                <w:szCs w:val="24"/>
              </w:rPr>
              <w:t>0.00</w:t>
            </w:r>
          </w:p>
        </w:tc>
      </w:tr>
      <w:tr w:rsidR="00280FAA" w14:paraId="3B3C29F3" w14:textId="77777777" w:rsidTr="00815F7F">
        <w:tc>
          <w:tcPr>
            <w:tcW w:w="3078" w:type="dxa"/>
            <w:vAlign w:val="center"/>
          </w:tcPr>
          <w:p w14:paraId="3B3C29F1" w14:textId="77777777" w:rsidR="00280FAA" w:rsidRDefault="00280FAA" w:rsidP="00815F7F">
            <w:pPr>
              <w:spacing w:before="60" w:after="60"/>
              <w:jc w:val="center"/>
              <w:rPr>
                <w:sz w:val="24"/>
                <w:szCs w:val="24"/>
              </w:rPr>
            </w:pPr>
            <w:r>
              <w:rPr>
                <w:sz w:val="24"/>
                <w:szCs w:val="24"/>
              </w:rPr>
              <w:t>Lead</w:t>
            </w:r>
          </w:p>
        </w:tc>
        <w:tc>
          <w:tcPr>
            <w:tcW w:w="2160" w:type="dxa"/>
            <w:vAlign w:val="center"/>
          </w:tcPr>
          <w:p w14:paraId="3B3C29F2" w14:textId="64C8A2A8" w:rsidR="00280FAA" w:rsidRPr="006A52EB" w:rsidRDefault="00815F7F" w:rsidP="00815F7F">
            <w:pPr>
              <w:spacing w:before="60" w:after="60"/>
              <w:jc w:val="center"/>
              <w:rPr>
                <w:sz w:val="24"/>
                <w:szCs w:val="24"/>
              </w:rPr>
            </w:pPr>
            <w:r>
              <w:rPr>
                <w:sz w:val="24"/>
                <w:szCs w:val="24"/>
              </w:rPr>
              <w:t>0.00</w:t>
            </w:r>
          </w:p>
        </w:tc>
      </w:tr>
      <w:tr w:rsidR="00280FAA" w14:paraId="3B3C29F6" w14:textId="77777777" w:rsidTr="00815F7F">
        <w:tc>
          <w:tcPr>
            <w:tcW w:w="3078" w:type="dxa"/>
            <w:vAlign w:val="center"/>
          </w:tcPr>
          <w:p w14:paraId="3B3C29F4" w14:textId="77777777" w:rsidR="00280FAA" w:rsidRDefault="00280FAA" w:rsidP="00815F7F">
            <w:pPr>
              <w:spacing w:before="60" w:after="60"/>
              <w:jc w:val="center"/>
              <w:rPr>
                <w:sz w:val="24"/>
                <w:szCs w:val="24"/>
              </w:rPr>
            </w:pPr>
            <w:r>
              <w:rPr>
                <w:sz w:val="24"/>
                <w:szCs w:val="24"/>
              </w:rPr>
              <w:t>CFC/HCFC</w:t>
            </w:r>
          </w:p>
        </w:tc>
        <w:tc>
          <w:tcPr>
            <w:tcW w:w="2160" w:type="dxa"/>
            <w:vAlign w:val="center"/>
          </w:tcPr>
          <w:p w14:paraId="3B3C29F5" w14:textId="11146463" w:rsidR="00280FAA" w:rsidRPr="006A52EB" w:rsidRDefault="00815F7F" w:rsidP="00815F7F">
            <w:pPr>
              <w:spacing w:before="60" w:after="60"/>
              <w:jc w:val="center"/>
              <w:rPr>
                <w:sz w:val="24"/>
                <w:szCs w:val="24"/>
              </w:rPr>
            </w:pPr>
            <w:r>
              <w:rPr>
                <w:sz w:val="24"/>
                <w:szCs w:val="24"/>
              </w:rPr>
              <w:t>0.00</w:t>
            </w:r>
          </w:p>
        </w:tc>
      </w:tr>
      <w:tr w:rsidR="00280FAA" w14:paraId="3B3C29F9" w14:textId="77777777" w:rsidTr="00815F7F">
        <w:tc>
          <w:tcPr>
            <w:tcW w:w="3078" w:type="dxa"/>
            <w:tcBorders>
              <w:bottom w:val="double" w:sz="4" w:space="0" w:color="auto"/>
            </w:tcBorders>
            <w:vAlign w:val="center"/>
          </w:tcPr>
          <w:p w14:paraId="3B3C29F7" w14:textId="397A2CC6" w:rsidR="00280FAA" w:rsidRDefault="00280FAA" w:rsidP="00815F7F">
            <w:pPr>
              <w:spacing w:before="60" w:after="60"/>
              <w:jc w:val="center"/>
              <w:rPr>
                <w:sz w:val="24"/>
                <w:szCs w:val="24"/>
              </w:rPr>
            </w:pPr>
            <w:r>
              <w:rPr>
                <w:sz w:val="24"/>
                <w:szCs w:val="24"/>
              </w:rPr>
              <w:t>Total HAP</w:t>
            </w:r>
            <w:r w:rsidR="00815F7F">
              <w:rPr>
                <w:sz w:val="24"/>
                <w:szCs w:val="24"/>
              </w:rPr>
              <w:t>s</w:t>
            </w:r>
          </w:p>
        </w:tc>
        <w:tc>
          <w:tcPr>
            <w:tcW w:w="2160" w:type="dxa"/>
            <w:tcBorders>
              <w:bottom w:val="double" w:sz="4" w:space="0" w:color="auto"/>
            </w:tcBorders>
            <w:vAlign w:val="center"/>
          </w:tcPr>
          <w:p w14:paraId="3B3C29F8" w14:textId="67F3F38B" w:rsidR="00280FAA" w:rsidRPr="006A52EB" w:rsidRDefault="00815F7F" w:rsidP="00815F7F">
            <w:pPr>
              <w:spacing w:before="60" w:after="60"/>
              <w:jc w:val="center"/>
              <w:rPr>
                <w:sz w:val="24"/>
                <w:szCs w:val="24"/>
              </w:rPr>
            </w:pPr>
            <w:r>
              <w:rPr>
                <w:sz w:val="24"/>
                <w:szCs w:val="24"/>
              </w:rPr>
              <w:t>51.46</w:t>
            </w:r>
          </w:p>
        </w:tc>
      </w:tr>
    </w:tbl>
    <w:p w14:paraId="3B3C29FA" w14:textId="77777777" w:rsidR="009733EB" w:rsidRPr="006A52EB" w:rsidRDefault="00ED2C87" w:rsidP="00104CE2">
      <w:pPr>
        <w:jc w:val="both"/>
        <w:rPr>
          <w:szCs w:val="24"/>
        </w:rPr>
      </w:pPr>
      <w:r w:rsidRPr="006A52EB">
        <w:rPr>
          <w:szCs w:val="24"/>
          <w:vertAlign w:val="superscript"/>
        </w:rPr>
        <w:t>1</w:t>
      </w:r>
      <w:r w:rsidRPr="006A52EB">
        <w:rPr>
          <w:szCs w:val="24"/>
        </w:rPr>
        <w:t xml:space="preserve"> The PTE emissions reflect any emission limits or enforceable restrictions included in the proposed permit.</w:t>
      </w:r>
    </w:p>
    <w:p w14:paraId="3B3C29FB" w14:textId="77777777" w:rsidR="00BA3BCF" w:rsidRDefault="00BA3BCF" w:rsidP="00104CE2">
      <w:pPr>
        <w:jc w:val="both"/>
        <w:rPr>
          <w:sz w:val="24"/>
          <w:szCs w:val="24"/>
        </w:rPr>
      </w:pPr>
    </w:p>
    <w:p w14:paraId="3B81C15D" w14:textId="5915C731" w:rsidR="00E72AA1" w:rsidRPr="00FB219A" w:rsidRDefault="00BA3BCF" w:rsidP="00BA3BCF">
      <w:pPr>
        <w:jc w:val="both"/>
        <w:rPr>
          <w:sz w:val="24"/>
          <w:szCs w:val="24"/>
          <w:u w:val="single"/>
        </w:rPr>
      </w:pPr>
      <w:r w:rsidRPr="00AD7559">
        <w:rPr>
          <w:sz w:val="24"/>
          <w:szCs w:val="24"/>
          <w:u w:val="single"/>
        </w:rPr>
        <w:t>PREVENTION OF SIGNIFICANT DETERIORATION (PSD) APPLICABILITY</w:t>
      </w:r>
    </w:p>
    <w:p w14:paraId="3B3C29FD" w14:textId="2F21C169" w:rsidR="00BA3BCF" w:rsidRPr="00DE5554" w:rsidRDefault="008855AA" w:rsidP="00BA3BCF">
      <w:pPr>
        <w:jc w:val="both"/>
        <w:rPr>
          <w:sz w:val="24"/>
          <w:szCs w:val="24"/>
        </w:rPr>
      </w:pPr>
      <w:r w:rsidRPr="008855AA">
        <w:rPr>
          <w:sz w:val="24"/>
          <w:szCs w:val="24"/>
        </w:rPr>
        <w:t xml:space="preserve">Given that the facility is not one </w:t>
      </w:r>
      <w:r w:rsidR="00D24175">
        <w:rPr>
          <w:sz w:val="24"/>
          <w:szCs w:val="24"/>
        </w:rPr>
        <w:t xml:space="preserve">(1) </w:t>
      </w:r>
      <w:r w:rsidRPr="008855AA">
        <w:rPr>
          <w:sz w:val="24"/>
          <w:szCs w:val="24"/>
        </w:rPr>
        <w:t>of the twenty-eight (28) categorical stationary sources listed in 40 CFR 52.21(b</w:t>
      </w:r>
      <w:proofErr w:type="gramStart"/>
      <w:r w:rsidRPr="008855AA">
        <w:rPr>
          <w:sz w:val="24"/>
          <w:szCs w:val="24"/>
        </w:rPr>
        <w:t>)(</w:t>
      </w:r>
      <w:proofErr w:type="gramEnd"/>
      <w:r w:rsidRPr="008855AA">
        <w:rPr>
          <w:sz w:val="24"/>
          <w:szCs w:val="24"/>
        </w:rPr>
        <w:t>1)(</w:t>
      </w:r>
      <w:proofErr w:type="spellStart"/>
      <w:r w:rsidRPr="008855AA">
        <w:rPr>
          <w:sz w:val="24"/>
          <w:szCs w:val="24"/>
        </w:rPr>
        <w:t>i</w:t>
      </w:r>
      <w:proofErr w:type="spellEnd"/>
      <w:r w:rsidRPr="008855AA">
        <w:rPr>
          <w:sz w:val="24"/>
          <w:szCs w:val="24"/>
        </w:rPr>
        <w:t>)(c)(iii)</w:t>
      </w:r>
      <w:r w:rsidR="00595060">
        <w:rPr>
          <w:sz w:val="24"/>
          <w:szCs w:val="24"/>
        </w:rPr>
        <w:t>,</w:t>
      </w:r>
      <w:r w:rsidRPr="008855AA">
        <w:rPr>
          <w:sz w:val="24"/>
          <w:szCs w:val="24"/>
        </w:rPr>
        <w:t xml:space="preserve"> the applicable threshold is 250 </w:t>
      </w:r>
      <w:proofErr w:type="spellStart"/>
      <w:r w:rsidRPr="008855AA">
        <w:rPr>
          <w:sz w:val="24"/>
          <w:szCs w:val="24"/>
        </w:rPr>
        <w:t>tpy</w:t>
      </w:r>
      <w:proofErr w:type="spellEnd"/>
      <w:r w:rsidRPr="008855AA">
        <w:rPr>
          <w:sz w:val="24"/>
          <w:szCs w:val="24"/>
        </w:rPr>
        <w:t xml:space="preserve">.  </w:t>
      </w:r>
      <w:r w:rsidR="00DE5554">
        <w:rPr>
          <w:sz w:val="24"/>
          <w:szCs w:val="24"/>
        </w:rPr>
        <w:t xml:space="preserve">As </w:t>
      </w:r>
      <w:proofErr w:type="spellStart"/>
      <w:r w:rsidR="00DE5554">
        <w:rPr>
          <w:sz w:val="24"/>
          <w:szCs w:val="24"/>
        </w:rPr>
        <w:t>Biewer</w:t>
      </w:r>
      <w:proofErr w:type="spellEnd"/>
      <w:r w:rsidR="00DE5554">
        <w:rPr>
          <w:sz w:val="24"/>
          <w:szCs w:val="24"/>
        </w:rPr>
        <w:t xml:space="preserve"> has the potential</w:t>
      </w:r>
      <w:r w:rsidR="00421BD0">
        <w:rPr>
          <w:sz w:val="24"/>
          <w:szCs w:val="24"/>
        </w:rPr>
        <w:t xml:space="preserve"> </w:t>
      </w:r>
      <w:r w:rsidR="00DE5554">
        <w:rPr>
          <w:sz w:val="24"/>
          <w:szCs w:val="24"/>
        </w:rPr>
        <w:t>to</w:t>
      </w:r>
      <w:r w:rsidR="00421BD0">
        <w:rPr>
          <w:sz w:val="24"/>
          <w:szCs w:val="24"/>
        </w:rPr>
        <w:t xml:space="preserve"> </w:t>
      </w:r>
      <w:r w:rsidR="00DE5554">
        <w:rPr>
          <w:sz w:val="24"/>
          <w:szCs w:val="24"/>
        </w:rPr>
        <w:t xml:space="preserve">emit volatile organic compounds (VOCs) in excess of the noted threshold, the facility </w:t>
      </w:r>
      <w:proofErr w:type="gramStart"/>
      <w:r w:rsidR="00DE5554">
        <w:rPr>
          <w:sz w:val="24"/>
          <w:szCs w:val="24"/>
        </w:rPr>
        <w:t>is considered</w:t>
      </w:r>
      <w:proofErr w:type="gramEnd"/>
      <w:r w:rsidR="00DE5554">
        <w:rPr>
          <w:sz w:val="24"/>
          <w:szCs w:val="24"/>
        </w:rPr>
        <w:t xml:space="preserve"> a PSD major stationary source</w:t>
      </w:r>
      <w:r w:rsidR="007658D7">
        <w:rPr>
          <w:sz w:val="24"/>
          <w:szCs w:val="24"/>
        </w:rPr>
        <w:t xml:space="preserve">.  </w:t>
      </w:r>
      <w:r w:rsidR="00197D1D">
        <w:rPr>
          <w:sz w:val="24"/>
          <w:szCs w:val="24"/>
        </w:rPr>
        <w:t xml:space="preserve">However, </w:t>
      </w:r>
      <w:r w:rsidR="00866F81">
        <w:rPr>
          <w:sz w:val="24"/>
          <w:szCs w:val="24"/>
        </w:rPr>
        <w:t>t</w:t>
      </w:r>
      <w:r w:rsidR="00DE5554">
        <w:rPr>
          <w:sz w:val="24"/>
          <w:szCs w:val="24"/>
        </w:rPr>
        <w:t xml:space="preserve">his permitting action will not change the current PSD status of the facility.    </w:t>
      </w:r>
    </w:p>
    <w:p w14:paraId="3B3C29FE" w14:textId="77777777" w:rsidR="00BA3BCF" w:rsidRDefault="00BA3BCF" w:rsidP="00104CE2">
      <w:pPr>
        <w:jc w:val="both"/>
        <w:rPr>
          <w:sz w:val="24"/>
          <w:szCs w:val="24"/>
          <w:u w:val="single"/>
        </w:rPr>
      </w:pPr>
    </w:p>
    <w:p w14:paraId="5A41AE4F" w14:textId="4DB20495" w:rsidR="00E72AA1" w:rsidRPr="00FB219A" w:rsidRDefault="00BA3BCF" w:rsidP="00BA3BCF">
      <w:pPr>
        <w:jc w:val="both"/>
        <w:rPr>
          <w:sz w:val="24"/>
          <w:szCs w:val="24"/>
          <w:u w:val="single"/>
        </w:rPr>
      </w:pPr>
      <w:r>
        <w:rPr>
          <w:sz w:val="24"/>
          <w:szCs w:val="24"/>
          <w:u w:val="single"/>
        </w:rPr>
        <w:t>FACILITY MODIFICATIONS AND/OR PERMIT CHANGES</w:t>
      </w:r>
    </w:p>
    <w:p w14:paraId="4C2E10C6" w14:textId="417B212D" w:rsidR="00401A80" w:rsidRDefault="00B0169C" w:rsidP="00BA3BCF">
      <w:pPr>
        <w:jc w:val="both"/>
        <w:rPr>
          <w:sz w:val="24"/>
          <w:szCs w:val="24"/>
        </w:rPr>
      </w:pPr>
      <w:r>
        <w:rPr>
          <w:sz w:val="24"/>
          <w:szCs w:val="24"/>
        </w:rPr>
        <w:t xml:space="preserve">This permitting action is for the initial issuance of a Title V Operating Permit </w:t>
      </w:r>
      <w:r w:rsidR="006B0A6B">
        <w:rPr>
          <w:sz w:val="24"/>
          <w:szCs w:val="24"/>
        </w:rPr>
        <w:t>(TVOP)</w:t>
      </w:r>
      <w:r>
        <w:rPr>
          <w:sz w:val="24"/>
          <w:szCs w:val="24"/>
        </w:rPr>
        <w:t xml:space="preserve">.  An initial application </w:t>
      </w:r>
      <w:proofErr w:type="gramStart"/>
      <w:r>
        <w:rPr>
          <w:sz w:val="24"/>
          <w:szCs w:val="24"/>
        </w:rPr>
        <w:t>was received</w:t>
      </w:r>
      <w:proofErr w:type="gramEnd"/>
      <w:r>
        <w:rPr>
          <w:sz w:val="24"/>
          <w:szCs w:val="24"/>
        </w:rPr>
        <w:t xml:space="preserve"> on December 13, 2017 </w:t>
      </w:r>
      <w:r w:rsidR="00566C4A">
        <w:rPr>
          <w:sz w:val="24"/>
          <w:szCs w:val="24"/>
        </w:rPr>
        <w:t>after</w:t>
      </w:r>
      <w:r w:rsidR="00445E9C">
        <w:rPr>
          <w:sz w:val="24"/>
          <w:szCs w:val="24"/>
        </w:rPr>
        <w:t xml:space="preserve"> the facility </w:t>
      </w:r>
      <w:r>
        <w:rPr>
          <w:sz w:val="24"/>
          <w:szCs w:val="24"/>
        </w:rPr>
        <w:t>certif</w:t>
      </w:r>
      <w:r w:rsidR="005A52FC">
        <w:rPr>
          <w:sz w:val="24"/>
          <w:szCs w:val="24"/>
        </w:rPr>
        <w:t>i</w:t>
      </w:r>
      <w:r w:rsidR="008257E7">
        <w:rPr>
          <w:sz w:val="24"/>
          <w:szCs w:val="24"/>
        </w:rPr>
        <w:t xml:space="preserve">ed construction as </w:t>
      </w:r>
      <w:r>
        <w:rPr>
          <w:sz w:val="24"/>
          <w:szCs w:val="24"/>
        </w:rPr>
        <w:t>complet</w:t>
      </w:r>
      <w:r w:rsidR="008257E7">
        <w:rPr>
          <w:sz w:val="24"/>
          <w:szCs w:val="24"/>
        </w:rPr>
        <w:t>e</w:t>
      </w:r>
      <w:r>
        <w:rPr>
          <w:sz w:val="24"/>
          <w:szCs w:val="24"/>
        </w:rPr>
        <w:t xml:space="preserve"> </w:t>
      </w:r>
      <w:r w:rsidR="00A3168B">
        <w:rPr>
          <w:sz w:val="24"/>
          <w:szCs w:val="24"/>
        </w:rPr>
        <w:t>for the</w:t>
      </w:r>
      <w:r>
        <w:rPr>
          <w:sz w:val="24"/>
          <w:szCs w:val="24"/>
        </w:rPr>
        <w:t xml:space="preserve"> project authorized under </w:t>
      </w:r>
      <w:r w:rsidR="00A3168B">
        <w:rPr>
          <w:sz w:val="24"/>
          <w:szCs w:val="24"/>
        </w:rPr>
        <w:t>the</w:t>
      </w:r>
      <w:r w:rsidR="00A7779F">
        <w:rPr>
          <w:sz w:val="24"/>
          <w:szCs w:val="24"/>
        </w:rPr>
        <w:t xml:space="preserve"> </w:t>
      </w:r>
      <w:r>
        <w:rPr>
          <w:sz w:val="24"/>
          <w:szCs w:val="24"/>
        </w:rPr>
        <w:t>PSD Construction Permit</w:t>
      </w:r>
      <w:r w:rsidR="007658D7">
        <w:rPr>
          <w:sz w:val="24"/>
          <w:szCs w:val="24"/>
        </w:rPr>
        <w:t xml:space="preserve"> issued on March 28, 2016</w:t>
      </w:r>
      <w:r>
        <w:rPr>
          <w:sz w:val="24"/>
          <w:szCs w:val="24"/>
        </w:rPr>
        <w:t xml:space="preserve">.  </w:t>
      </w:r>
    </w:p>
    <w:p w14:paraId="7C572B36" w14:textId="77777777" w:rsidR="00401A80" w:rsidRDefault="00401A80" w:rsidP="00BA3BCF">
      <w:pPr>
        <w:jc w:val="both"/>
        <w:rPr>
          <w:sz w:val="24"/>
          <w:szCs w:val="24"/>
        </w:rPr>
      </w:pPr>
    </w:p>
    <w:p w14:paraId="5C4BF89A" w14:textId="363A0652" w:rsidR="001B016C" w:rsidRDefault="00401A80" w:rsidP="00BA3BCF">
      <w:pPr>
        <w:jc w:val="both"/>
        <w:rPr>
          <w:sz w:val="24"/>
          <w:szCs w:val="24"/>
        </w:rPr>
      </w:pPr>
      <w:r>
        <w:rPr>
          <w:sz w:val="24"/>
          <w:szCs w:val="24"/>
        </w:rPr>
        <w:t xml:space="preserve">While </w:t>
      </w:r>
      <w:r w:rsidR="00D03EB8">
        <w:rPr>
          <w:sz w:val="24"/>
          <w:szCs w:val="24"/>
        </w:rPr>
        <w:t>the MDEQ was processing</w:t>
      </w:r>
      <w:r>
        <w:rPr>
          <w:sz w:val="24"/>
          <w:szCs w:val="24"/>
        </w:rPr>
        <w:t xml:space="preserve"> the initial application, </w:t>
      </w:r>
      <w:proofErr w:type="spellStart"/>
      <w:r>
        <w:rPr>
          <w:sz w:val="24"/>
          <w:szCs w:val="24"/>
        </w:rPr>
        <w:t>Biewer</w:t>
      </w:r>
      <w:proofErr w:type="spellEnd"/>
      <w:r>
        <w:rPr>
          <w:sz w:val="24"/>
          <w:szCs w:val="24"/>
        </w:rPr>
        <w:t xml:space="preserve"> submitted an</w:t>
      </w:r>
      <w:r w:rsidR="00631F0A">
        <w:rPr>
          <w:sz w:val="24"/>
          <w:szCs w:val="24"/>
        </w:rPr>
        <w:t>other</w:t>
      </w:r>
      <w:r>
        <w:rPr>
          <w:sz w:val="24"/>
          <w:szCs w:val="24"/>
        </w:rPr>
        <w:t xml:space="preserve"> application on April 27, 2018 requesting a modification of the </w:t>
      </w:r>
      <w:r w:rsidR="001E3AC4">
        <w:rPr>
          <w:sz w:val="24"/>
          <w:szCs w:val="24"/>
        </w:rPr>
        <w:t>initial</w:t>
      </w:r>
      <w:r>
        <w:rPr>
          <w:sz w:val="24"/>
          <w:szCs w:val="24"/>
        </w:rPr>
        <w:t xml:space="preserve"> PSD Construction P</w:t>
      </w:r>
      <w:r w:rsidR="00A7779F">
        <w:rPr>
          <w:sz w:val="24"/>
          <w:szCs w:val="24"/>
        </w:rPr>
        <w:t>ermit</w:t>
      </w:r>
      <w:r w:rsidR="007658D7">
        <w:rPr>
          <w:sz w:val="24"/>
          <w:szCs w:val="24"/>
        </w:rPr>
        <w:t xml:space="preserve"> (</w:t>
      </w:r>
      <w:r w:rsidR="00351E35">
        <w:rPr>
          <w:sz w:val="24"/>
          <w:szCs w:val="24"/>
        </w:rPr>
        <w:t xml:space="preserve">which </w:t>
      </w:r>
      <w:proofErr w:type="gramStart"/>
      <w:r w:rsidR="00351E35">
        <w:rPr>
          <w:sz w:val="24"/>
          <w:szCs w:val="24"/>
        </w:rPr>
        <w:t xml:space="preserve">was eventually </w:t>
      </w:r>
      <w:r w:rsidR="007658D7">
        <w:rPr>
          <w:sz w:val="24"/>
          <w:szCs w:val="24"/>
        </w:rPr>
        <w:t>modified</w:t>
      </w:r>
      <w:proofErr w:type="gramEnd"/>
      <w:r w:rsidR="007658D7">
        <w:rPr>
          <w:sz w:val="24"/>
          <w:szCs w:val="24"/>
        </w:rPr>
        <w:t xml:space="preserve"> on November 7, 2018)</w:t>
      </w:r>
      <w:r w:rsidR="00A7779F">
        <w:rPr>
          <w:sz w:val="24"/>
          <w:szCs w:val="24"/>
        </w:rPr>
        <w:t xml:space="preserve">.  </w:t>
      </w:r>
      <w:r>
        <w:rPr>
          <w:sz w:val="24"/>
          <w:szCs w:val="24"/>
        </w:rPr>
        <w:t xml:space="preserve">Upon completing </w:t>
      </w:r>
      <w:r w:rsidR="006B0A6B">
        <w:rPr>
          <w:sz w:val="24"/>
          <w:szCs w:val="24"/>
        </w:rPr>
        <w:t xml:space="preserve">construction of </w:t>
      </w:r>
      <w:r>
        <w:rPr>
          <w:sz w:val="24"/>
          <w:szCs w:val="24"/>
        </w:rPr>
        <w:t xml:space="preserve">the modification, </w:t>
      </w:r>
      <w:proofErr w:type="spellStart"/>
      <w:r w:rsidR="006B0A6B">
        <w:rPr>
          <w:sz w:val="24"/>
          <w:szCs w:val="24"/>
        </w:rPr>
        <w:t>Biewer</w:t>
      </w:r>
      <w:proofErr w:type="spellEnd"/>
      <w:r w:rsidR="006B0A6B">
        <w:rPr>
          <w:sz w:val="24"/>
          <w:szCs w:val="24"/>
        </w:rPr>
        <w:t xml:space="preserve"> submitted a revised application for the initial TVOP on August 5, 2020.</w:t>
      </w:r>
      <w:r w:rsidR="001D06AF">
        <w:rPr>
          <w:sz w:val="24"/>
          <w:szCs w:val="24"/>
        </w:rPr>
        <w:t xml:space="preserve">  </w:t>
      </w:r>
    </w:p>
    <w:p w14:paraId="71719518" w14:textId="77777777" w:rsidR="001B016C" w:rsidRDefault="001B016C" w:rsidP="00BA3BCF">
      <w:pPr>
        <w:jc w:val="both"/>
        <w:rPr>
          <w:sz w:val="24"/>
          <w:szCs w:val="24"/>
        </w:rPr>
      </w:pPr>
    </w:p>
    <w:p w14:paraId="3B3C2A00" w14:textId="65ED29C1" w:rsidR="00BA3BCF" w:rsidRDefault="001D06AF" w:rsidP="00BA3BCF">
      <w:pPr>
        <w:jc w:val="both"/>
        <w:rPr>
          <w:sz w:val="24"/>
          <w:szCs w:val="24"/>
        </w:rPr>
      </w:pPr>
      <w:r>
        <w:rPr>
          <w:sz w:val="24"/>
          <w:szCs w:val="24"/>
        </w:rPr>
        <w:t>As a part of t</w:t>
      </w:r>
      <w:r w:rsidR="001B016C">
        <w:rPr>
          <w:sz w:val="24"/>
          <w:szCs w:val="24"/>
        </w:rPr>
        <w:t xml:space="preserve">his initial issuance, the following action </w:t>
      </w:r>
      <w:proofErr w:type="gramStart"/>
      <w:r w:rsidR="00C3647C">
        <w:rPr>
          <w:sz w:val="24"/>
          <w:szCs w:val="24"/>
        </w:rPr>
        <w:t>have been</w:t>
      </w:r>
      <w:r w:rsidR="001B016C">
        <w:rPr>
          <w:sz w:val="24"/>
          <w:szCs w:val="24"/>
        </w:rPr>
        <w:t xml:space="preserve"> incorporated</w:t>
      </w:r>
      <w:proofErr w:type="gramEnd"/>
      <w:r w:rsidR="001B016C">
        <w:rPr>
          <w:sz w:val="24"/>
          <w:szCs w:val="24"/>
        </w:rPr>
        <w:t xml:space="preserve"> into the TVOP:</w:t>
      </w:r>
    </w:p>
    <w:p w14:paraId="34DD8D87" w14:textId="7564DFF0" w:rsidR="001B016C" w:rsidRDefault="001B016C" w:rsidP="00BA3BCF">
      <w:pPr>
        <w:jc w:val="both"/>
        <w:rPr>
          <w:sz w:val="24"/>
          <w:szCs w:val="24"/>
        </w:rPr>
      </w:pPr>
    </w:p>
    <w:p w14:paraId="39EFDE98" w14:textId="0144F946" w:rsidR="001B016C" w:rsidRPr="00433158" w:rsidRDefault="001B016C" w:rsidP="001B016C">
      <w:pPr>
        <w:pStyle w:val="ListParagraph"/>
        <w:numPr>
          <w:ilvl w:val="0"/>
          <w:numId w:val="3"/>
        </w:numPr>
        <w:tabs>
          <w:tab w:val="left" w:pos="360"/>
        </w:tabs>
        <w:ind w:left="360"/>
        <w:jc w:val="both"/>
        <w:rPr>
          <w:color w:val="4F81BD" w:themeColor="accent1"/>
          <w:sz w:val="24"/>
          <w:szCs w:val="24"/>
        </w:rPr>
      </w:pPr>
      <w:r w:rsidRPr="001B016C">
        <w:rPr>
          <w:i/>
          <w:sz w:val="24"/>
          <w:szCs w:val="24"/>
        </w:rPr>
        <w:t xml:space="preserve">PSD Construction Permit (issued on </w:t>
      </w:r>
      <w:r>
        <w:rPr>
          <w:i/>
          <w:sz w:val="24"/>
          <w:szCs w:val="24"/>
        </w:rPr>
        <w:t>March 28, 2016; modified on November 7, 2018</w:t>
      </w:r>
      <w:r w:rsidRPr="001B016C">
        <w:rPr>
          <w:i/>
          <w:sz w:val="24"/>
          <w:szCs w:val="24"/>
        </w:rPr>
        <w:t>)</w:t>
      </w:r>
      <w:r w:rsidR="00A7779F">
        <w:rPr>
          <w:sz w:val="24"/>
          <w:szCs w:val="24"/>
        </w:rPr>
        <w:t xml:space="preserve"> –</w:t>
      </w:r>
      <w:r w:rsidR="00074BFD">
        <w:rPr>
          <w:sz w:val="24"/>
          <w:szCs w:val="24"/>
        </w:rPr>
        <w:t xml:space="preserve">  </w:t>
      </w:r>
      <w:r w:rsidR="00433158">
        <w:rPr>
          <w:sz w:val="24"/>
          <w:szCs w:val="24"/>
        </w:rPr>
        <w:t xml:space="preserve">As a result of </w:t>
      </w:r>
      <w:r w:rsidR="00381402">
        <w:rPr>
          <w:sz w:val="24"/>
          <w:szCs w:val="24"/>
        </w:rPr>
        <w:t xml:space="preserve">both the initial permit issuance and the subsequent </w:t>
      </w:r>
      <w:r w:rsidR="00C30E3A">
        <w:rPr>
          <w:sz w:val="24"/>
          <w:szCs w:val="24"/>
        </w:rPr>
        <w:t xml:space="preserve">permit </w:t>
      </w:r>
      <w:r w:rsidR="00433158">
        <w:rPr>
          <w:sz w:val="24"/>
          <w:szCs w:val="24"/>
        </w:rPr>
        <w:t>modification, limitations and standards were established as either Best Available Control Technology (BACT) or PSD avoidance.</w:t>
      </w:r>
    </w:p>
    <w:p w14:paraId="6BE30366" w14:textId="416D7B2A" w:rsidR="00433158" w:rsidRPr="009B6449" w:rsidRDefault="00433158" w:rsidP="009B6449">
      <w:pPr>
        <w:pStyle w:val="ListParagraph"/>
        <w:tabs>
          <w:tab w:val="left" w:pos="360"/>
        </w:tabs>
        <w:ind w:left="360"/>
        <w:jc w:val="both"/>
        <w:rPr>
          <w:color w:val="4F81BD" w:themeColor="accent1"/>
          <w:sz w:val="24"/>
          <w:szCs w:val="24"/>
        </w:rPr>
      </w:pPr>
    </w:p>
    <w:p w14:paraId="4706416C" w14:textId="112E0677" w:rsidR="009B6449" w:rsidRDefault="009B6449" w:rsidP="009B6449">
      <w:pPr>
        <w:pStyle w:val="NoSpacing"/>
        <w:rPr>
          <w:sz w:val="24"/>
          <w:szCs w:val="24"/>
        </w:rPr>
      </w:pPr>
      <w:r>
        <w:rPr>
          <w:sz w:val="24"/>
          <w:szCs w:val="24"/>
        </w:rPr>
        <w:t xml:space="preserve">Additionally, </w:t>
      </w:r>
      <w:r w:rsidRPr="009B6449">
        <w:rPr>
          <w:sz w:val="24"/>
          <w:szCs w:val="24"/>
        </w:rPr>
        <w:t xml:space="preserve">the following </w:t>
      </w:r>
      <w:r>
        <w:rPr>
          <w:sz w:val="24"/>
          <w:szCs w:val="24"/>
        </w:rPr>
        <w:t>requests</w:t>
      </w:r>
      <w:r w:rsidRPr="009B6449">
        <w:rPr>
          <w:sz w:val="24"/>
          <w:szCs w:val="24"/>
        </w:rPr>
        <w:t xml:space="preserve"> </w:t>
      </w:r>
      <w:r>
        <w:rPr>
          <w:sz w:val="24"/>
          <w:szCs w:val="24"/>
        </w:rPr>
        <w:t>made</w:t>
      </w:r>
      <w:r w:rsidRPr="009B6449">
        <w:rPr>
          <w:sz w:val="24"/>
          <w:szCs w:val="24"/>
        </w:rPr>
        <w:t xml:space="preserve"> by the facility </w:t>
      </w:r>
      <w:proofErr w:type="gramStart"/>
      <w:r w:rsidR="00C3647C">
        <w:rPr>
          <w:sz w:val="24"/>
          <w:szCs w:val="24"/>
        </w:rPr>
        <w:t>have been</w:t>
      </w:r>
      <w:r w:rsidRPr="009B6449">
        <w:rPr>
          <w:sz w:val="24"/>
          <w:szCs w:val="24"/>
        </w:rPr>
        <w:t xml:space="preserve"> incorporated</w:t>
      </w:r>
      <w:proofErr w:type="gramEnd"/>
      <w:r w:rsidRPr="009B6449">
        <w:rPr>
          <w:sz w:val="24"/>
          <w:szCs w:val="24"/>
        </w:rPr>
        <w:t xml:space="preserve"> into the </w:t>
      </w:r>
      <w:r w:rsidR="00BA7625">
        <w:rPr>
          <w:sz w:val="24"/>
          <w:szCs w:val="24"/>
        </w:rPr>
        <w:t>TVOP</w:t>
      </w:r>
      <w:r>
        <w:rPr>
          <w:sz w:val="24"/>
          <w:szCs w:val="24"/>
        </w:rPr>
        <w:t>:</w:t>
      </w:r>
    </w:p>
    <w:p w14:paraId="439D4654" w14:textId="460A3E3F" w:rsidR="009B6449" w:rsidRDefault="009B6449" w:rsidP="009B6449">
      <w:pPr>
        <w:pStyle w:val="NoSpacing"/>
        <w:rPr>
          <w:sz w:val="24"/>
          <w:szCs w:val="24"/>
        </w:rPr>
      </w:pPr>
    </w:p>
    <w:p w14:paraId="1202BE99" w14:textId="2FC8828F" w:rsidR="009B6449" w:rsidRPr="00A7273A" w:rsidRDefault="009B6449" w:rsidP="00A7273A">
      <w:pPr>
        <w:pStyle w:val="NoSpacing"/>
        <w:numPr>
          <w:ilvl w:val="0"/>
          <w:numId w:val="4"/>
        </w:numPr>
        <w:ind w:left="360"/>
        <w:jc w:val="both"/>
        <w:rPr>
          <w:sz w:val="24"/>
          <w:szCs w:val="24"/>
        </w:rPr>
      </w:pPr>
      <w:proofErr w:type="gramStart"/>
      <w:r w:rsidRPr="009B6449">
        <w:rPr>
          <w:i/>
          <w:sz w:val="24"/>
          <w:szCs w:val="24"/>
        </w:rPr>
        <w:t xml:space="preserve">Inclusion of </w:t>
      </w:r>
      <w:r w:rsidR="00C3647C">
        <w:rPr>
          <w:i/>
          <w:sz w:val="24"/>
          <w:szCs w:val="24"/>
        </w:rPr>
        <w:t xml:space="preserve">a </w:t>
      </w:r>
      <w:r w:rsidR="00BA7625">
        <w:rPr>
          <w:i/>
          <w:sz w:val="24"/>
          <w:szCs w:val="24"/>
        </w:rPr>
        <w:t>fourth (4</w:t>
      </w:r>
      <w:r w:rsidR="00BA7625" w:rsidRPr="00BA7625">
        <w:rPr>
          <w:i/>
          <w:sz w:val="24"/>
          <w:szCs w:val="24"/>
          <w:vertAlign w:val="superscript"/>
        </w:rPr>
        <w:t>th</w:t>
      </w:r>
      <w:r w:rsidR="00BA7625">
        <w:rPr>
          <w:i/>
          <w:sz w:val="24"/>
          <w:szCs w:val="24"/>
        </w:rPr>
        <w:t xml:space="preserve">) </w:t>
      </w:r>
      <w:r w:rsidRPr="009B6449">
        <w:rPr>
          <w:i/>
          <w:sz w:val="24"/>
          <w:szCs w:val="24"/>
        </w:rPr>
        <w:t>continuous direct-fired lumber drying kiln</w:t>
      </w:r>
      <w:r>
        <w:rPr>
          <w:sz w:val="24"/>
          <w:szCs w:val="24"/>
        </w:rPr>
        <w:t xml:space="preserve"> </w:t>
      </w:r>
      <w:r w:rsidR="00BA7625">
        <w:rPr>
          <w:sz w:val="24"/>
          <w:szCs w:val="24"/>
        </w:rPr>
        <w:t>–</w:t>
      </w:r>
      <w:r>
        <w:rPr>
          <w:sz w:val="24"/>
          <w:szCs w:val="24"/>
        </w:rPr>
        <w:t xml:space="preserve"> </w:t>
      </w:r>
      <w:r w:rsidR="00E22BBD">
        <w:rPr>
          <w:sz w:val="24"/>
          <w:szCs w:val="24"/>
        </w:rPr>
        <w:t xml:space="preserve">In an effort to address </w:t>
      </w:r>
      <w:r w:rsidR="0026140A">
        <w:rPr>
          <w:sz w:val="24"/>
          <w:szCs w:val="24"/>
        </w:rPr>
        <w:t xml:space="preserve">the </w:t>
      </w:r>
      <w:r w:rsidR="00E22BBD">
        <w:rPr>
          <w:sz w:val="24"/>
          <w:szCs w:val="24"/>
        </w:rPr>
        <w:t>demand for dried lumber of various dimensions (</w:t>
      </w:r>
      <w:r w:rsidR="00325776">
        <w:rPr>
          <w:sz w:val="24"/>
          <w:szCs w:val="24"/>
        </w:rPr>
        <w:t xml:space="preserve">e.g. 2 </w:t>
      </w:r>
      <w:r w:rsidR="0025062C">
        <w:rPr>
          <w:sz w:val="24"/>
          <w:szCs w:val="24"/>
        </w:rPr>
        <w:t>feet × 6 feet</w:t>
      </w:r>
      <w:r w:rsidR="00E96505">
        <w:rPr>
          <w:sz w:val="24"/>
          <w:szCs w:val="24"/>
        </w:rPr>
        <w:t xml:space="preserve">; </w:t>
      </w:r>
      <w:r w:rsidR="0025062C">
        <w:rPr>
          <w:sz w:val="24"/>
          <w:szCs w:val="24"/>
        </w:rPr>
        <w:t>2 feet</w:t>
      </w:r>
      <w:r w:rsidR="00325776">
        <w:rPr>
          <w:sz w:val="24"/>
          <w:szCs w:val="24"/>
        </w:rPr>
        <w:t xml:space="preserve"> </w:t>
      </w:r>
      <w:r w:rsidR="00E96505" w:rsidRPr="00E96505">
        <w:rPr>
          <w:sz w:val="24"/>
          <w:szCs w:val="24"/>
        </w:rPr>
        <w:t xml:space="preserve">× </w:t>
      </w:r>
      <w:r w:rsidR="00E96505">
        <w:rPr>
          <w:sz w:val="24"/>
          <w:szCs w:val="24"/>
        </w:rPr>
        <w:t>8</w:t>
      </w:r>
      <w:r w:rsidR="0025062C">
        <w:rPr>
          <w:sz w:val="24"/>
          <w:szCs w:val="24"/>
        </w:rPr>
        <w:t xml:space="preserve"> feet</w:t>
      </w:r>
      <w:r w:rsidR="00E96505">
        <w:rPr>
          <w:sz w:val="24"/>
          <w:szCs w:val="24"/>
        </w:rPr>
        <w:t>; etc.)</w:t>
      </w:r>
      <w:r w:rsidR="002612FF">
        <w:rPr>
          <w:sz w:val="24"/>
          <w:szCs w:val="24"/>
        </w:rPr>
        <w:t xml:space="preserve">, </w:t>
      </w:r>
      <w:proofErr w:type="spellStart"/>
      <w:r w:rsidR="002612FF">
        <w:rPr>
          <w:sz w:val="24"/>
          <w:szCs w:val="24"/>
        </w:rPr>
        <w:t>Biewer</w:t>
      </w:r>
      <w:proofErr w:type="spellEnd"/>
      <w:r w:rsidR="002612FF">
        <w:rPr>
          <w:sz w:val="24"/>
          <w:szCs w:val="24"/>
        </w:rPr>
        <w:t xml:space="preserve"> </w:t>
      </w:r>
      <w:r w:rsidR="007658D7">
        <w:rPr>
          <w:sz w:val="24"/>
          <w:szCs w:val="24"/>
        </w:rPr>
        <w:t>requested</w:t>
      </w:r>
      <w:r w:rsidR="002612FF">
        <w:rPr>
          <w:sz w:val="24"/>
          <w:szCs w:val="24"/>
        </w:rPr>
        <w:t xml:space="preserve"> </w:t>
      </w:r>
      <w:r w:rsidR="00A7013A">
        <w:rPr>
          <w:sz w:val="24"/>
          <w:szCs w:val="24"/>
        </w:rPr>
        <w:t xml:space="preserve">within the revised application </w:t>
      </w:r>
      <w:r w:rsidR="000D4EFC">
        <w:rPr>
          <w:sz w:val="24"/>
          <w:szCs w:val="24"/>
        </w:rPr>
        <w:t>for</w:t>
      </w:r>
      <w:r w:rsidR="00B96E05">
        <w:rPr>
          <w:sz w:val="24"/>
          <w:szCs w:val="24"/>
        </w:rPr>
        <w:t xml:space="preserve"> approval</w:t>
      </w:r>
      <w:r w:rsidR="00B143B2">
        <w:rPr>
          <w:sz w:val="24"/>
          <w:szCs w:val="24"/>
        </w:rPr>
        <w:t xml:space="preserve"> </w:t>
      </w:r>
      <w:r w:rsidR="007658D7">
        <w:rPr>
          <w:sz w:val="24"/>
          <w:szCs w:val="24"/>
        </w:rPr>
        <w:t>to install / operate</w:t>
      </w:r>
      <w:r w:rsidR="00916826">
        <w:rPr>
          <w:sz w:val="24"/>
          <w:szCs w:val="24"/>
        </w:rPr>
        <w:t xml:space="preserve"> one (1) </w:t>
      </w:r>
      <w:r w:rsidR="00620F2D">
        <w:rPr>
          <w:sz w:val="24"/>
          <w:szCs w:val="24"/>
        </w:rPr>
        <w:t xml:space="preserve">new </w:t>
      </w:r>
      <w:r w:rsidR="00620F2D" w:rsidRPr="00620F2D">
        <w:rPr>
          <w:sz w:val="24"/>
          <w:szCs w:val="24"/>
        </w:rPr>
        <w:t>continuous direct-fired lumber drying kiln</w:t>
      </w:r>
      <w:r w:rsidR="00620F2D">
        <w:rPr>
          <w:sz w:val="24"/>
          <w:szCs w:val="24"/>
        </w:rPr>
        <w:t xml:space="preserve"> (CDK) with the same </w:t>
      </w:r>
      <w:r w:rsidR="00916826">
        <w:rPr>
          <w:sz w:val="24"/>
          <w:szCs w:val="24"/>
        </w:rPr>
        <w:t xml:space="preserve">design </w:t>
      </w:r>
      <w:r w:rsidR="00620F2D">
        <w:rPr>
          <w:sz w:val="24"/>
          <w:szCs w:val="24"/>
        </w:rPr>
        <w:t>specifications as the three (3) existing CDKs.</w:t>
      </w:r>
      <w:proofErr w:type="gramEnd"/>
      <w:r w:rsidR="0059277D">
        <w:rPr>
          <w:sz w:val="24"/>
          <w:szCs w:val="24"/>
        </w:rPr>
        <w:t xml:space="preserve">  Additionally</w:t>
      </w:r>
      <w:r w:rsidR="00A7273A">
        <w:rPr>
          <w:sz w:val="24"/>
          <w:szCs w:val="24"/>
        </w:rPr>
        <w:t xml:space="preserve">, </w:t>
      </w:r>
      <w:proofErr w:type="spellStart"/>
      <w:r w:rsidR="00620F2D" w:rsidRPr="00A7273A">
        <w:rPr>
          <w:sz w:val="24"/>
          <w:szCs w:val="24"/>
        </w:rPr>
        <w:t>B</w:t>
      </w:r>
      <w:r w:rsidR="00916826" w:rsidRPr="00A7273A">
        <w:rPr>
          <w:sz w:val="24"/>
          <w:szCs w:val="24"/>
        </w:rPr>
        <w:t>iewer</w:t>
      </w:r>
      <w:proofErr w:type="spellEnd"/>
      <w:r w:rsidR="007658D7" w:rsidRPr="00A7273A">
        <w:rPr>
          <w:sz w:val="24"/>
          <w:szCs w:val="24"/>
        </w:rPr>
        <w:t xml:space="preserve"> </w:t>
      </w:r>
      <w:r w:rsidR="00916826" w:rsidRPr="00A7273A">
        <w:rPr>
          <w:sz w:val="24"/>
          <w:szCs w:val="24"/>
        </w:rPr>
        <w:t xml:space="preserve">requested that </w:t>
      </w:r>
      <w:r w:rsidR="009F001D" w:rsidRPr="00A7273A">
        <w:rPr>
          <w:sz w:val="24"/>
          <w:szCs w:val="24"/>
        </w:rPr>
        <w:t xml:space="preserve">the new CDK </w:t>
      </w:r>
      <w:r w:rsidR="00E815CD" w:rsidRPr="00A7273A">
        <w:rPr>
          <w:sz w:val="24"/>
          <w:szCs w:val="24"/>
        </w:rPr>
        <w:t xml:space="preserve">[i.e. Emission </w:t>
      </w:r>
      <w:r w:rsidR="00E815CD" w:rsidRPr="00A7273A">
        <w:rPr>
          <w:sz w:val="24"/>
          <w:szCs w:val="24"/>
        </w:rPr>
        <w:lastRenderedPageBreak/>
        <w:t>Point AA-01</w:t>
      </w:r>
      <w:r w:rsidR="00792653" w:rsidRPr="00A7273A">
        <w:rPr>
          <w:sz w:val="24"/>
          <w:szCs w:val="24"/>
        </w:rPr>
        <w:t>5]</w:t>
      </w:r>
      <w:r w:rsidR="00916826" w:rsidRPr="00A7273A">
        <w:rPr>
          <w:sz w:val="24"/>
          <w:szCs w:val="24"/>
        </w:rPr>
        <w:t xml:space="preserve"> </w:t>
      </w:r>
      <w:proofErr w:type="gramStart"/>
      <w:r w:rsidR="00916826" w:rsidRPr="00A7273A">
        <w:rPr>
          <w:sz w:val="24"/>
          <w:szCs w:val="24"/>
        </w:rPr>
        <w:t xml:space="preserve">be </w:t>
      </w:r>
      <w:r w:rsidR="00284589">
        <w:rPr>
          <w:sz w:val="24"/>
          <w:szCs w:val="24"/>
        </w:rPr>
        <w:t>encompassed</w:t>
      </w:r>
      <w:proofErr w:type="gramEnd"/>
      <w:r w:rsidR="00284589">
        <w:rPr>
          <w:sz w:val="24"/>
          <w:szCs w:val="24"/>
        </w:rPr>
        <w:t xml:space="preserve"> under </w:t>
      </w:r>
      <w:r w:rsidR="00416FDD">
        <w:rPr>
          <w:sz w:val="24"/>
          <w:szCs w:val="24"/>
        </w:rPr>
        <w:t>the</w:t>
      </w:r>
      <w:r w:rsidR="00AF4D77">
        <w:rPr>
          <w:sz w:val="24"/>
          <w:szCs w:val="24"/>
        </w:rPr>
        <w:t xml:space="preserve"> </w:t>
      </w:r>
      <w:r w:rsidR="00284589">
        <w:rPr>
          <w:sz w:val="24"/>
          <w:szCs w:val="24"/>
        </w:rPr>
        <w:t xml:space="preserve">BACT limitations established </w:t>
      </w:r>
      <w:r w:rsidR="00416FDD">
        <w:rPr>
          <w:sz w:val="24"/>
          <w:szCs w:val="24"/>
        </w:rPr>
        <w:t>for the</w:t>
      </w:r>
      <w:r w:rsidR="005E0411">
        <w:rPr>
          <w:sz w:val="24"/>
          <w:szCs w:val="24"/>
        </w:rPr>
        <w:t xml:space="preserve"> three (3) original CDKs in the modified PSD Construction Permit</w:t>
      </w:r>
      <w:r w:rsidR="004F34CA" w:rsidRPr="00A7273A">
        <w:rPr>
          <w:sz w:val="24"/>
          <w:szCs w:val="24"/>
        </w:rPr>
        <w:t>.</w:t>
      </w:r>
      <w:r w:rsidR="007D47A8">
        <w:rPr>
          <w:sz w:val="24"/>
          <w:szCs w:val="24"/>
        </w:rPr>
        <w:t xml:space="preserve">  With the in</w:t>
      </w:r>
      <w:r w:rsidR="00E73801">
        <w:rPr>
          <w:sz w:val="24"/>
          <w:szCs w:val="24"/>
        </w:rPr>
        <w:t>clusion of the new CDK under the noted limitations, there</w:t>
      </w:r>
      <w:r w:rsidR="00893F2F">
        <w:rPr>
          <w:sz w:val="24"/>
          <w:szCs w:val="24"/>
        </w:rPr>
        <w:t xml:space="preserve"> will not be </w:t>
      </w:r>
      <w:r w:rsidR="00207776">
        <w:rPr>
          <w:sz w:val="24"/>
          <w:szCs w:val="24"/>
        </w:rPr>
        <w:t xml:space="preserve">an increase in dried lumber </w:t>
      </w:r>
      <w:r w:rsidR="00956BF9">
        <w:rPr>
          <w:sz w:val="24"/>
          <w:szCs w:val="24"/>
        </w:rPr>
        <w:t>production</w:t>
      </w:r>
      <w:r w:rsidR="00207776">
        <w:rPr>
          <w:sz w:val="24"/>
          <w:szCs w:val="24"/>
        </w:rPr>
        <w:t xml:space="preserve"> </w:t>
      </w:r>
      <w:r w:rsidR="00526772">
        <w:rPr>
          <w:sz w:val="24"/>
          <w:szCs w:val="24"/>
        </w:rPr>
        <w:t>nor an increase in VOC emissions.</w:t>
      </w:r>
    </w:p>
    <w:p w14:paraId="6F20DA50" w14:textId="77777777" w:rsidR="004F34CA" w:rsidRDefault="004F34CA" w:rsidP="004F34CA">
      <w:pPr>
        <w:pStyle w:val="NoSpacing"/>
        <w:ind w:left="360"/>
        <w:jc w:val="both"/>
        <w:rPr>
          <w:sz w:val="24"/>
          <w:szCs w:val="24"/>
        </w:rPr>
      </w:pPr>
    </w:p>
    <w:p w14:paraId="153946B2" w14:textId="3E534983" w:rsidR="004F34CA" w:rsidRDefault="004F34CA" w:rsidP="00620F2D">
      <w:pPr>
        <w:pStyle w:val="NoSpacing"/>
        <w:numPr>
          <w:ilvl w:val="0"/>
          <w:numId w:val="4"/>
        </w:numPr>
        <w:ind w:left="360"/>
        <w:jc w:val="both"/>
        <w:rPr>
          <w:sz w:val="24"/>
          <w:szCs w:val="24"/>
        </w:rPr>
      </w:pPr>
      <w:r w:rsidRPr="00A45A89">
        <w:rPr>
          <w:i/>
          <w:sz w:val="24"/>
          <w:szCs w:val="24"/>
        </w:rPr>
        <w:t xml:space="preserve">Inclusion of </w:t>
      </w:r>
      <w:r w:rsidR="00A45A89">
        <w:rPr>
          <w:i/>
          <w:sz w:val="24"/>
          <w:szCs w:val="24"/>
        </w:rPr>
        <w:t xml:space="preserve">applicable </w:t>
      </w:r>
      <w:r w:rsidRPr="00A45A89">
        <w:rPr>
          <w:i/>
          <w:sz w:val="24"/>
          <w:szCs w:val="24"/>
        </w:rPr>
        <w:t xml:space="preserve">Compliance Assurance Monitoring (CAM) </w:t>
      </w:r>
      <w:r w:rsidR="00A45A89">
        <w:rPr>
          <w:i/>
          <w:sz w:val="24"/>
          <w:szCs w:val="24"/>
        </w:rPr>
        <w:t>language</w:t>
      </w:r>
      <w:r>
        <w:rPr>
          <w:sz w:val="24"/>
          <w:szCs w:val="24"/>
        </w:rPr>
        <w:t xml:space="preserve"> –</w:t>
      </w:r>
      <w:r w:rsidR="00A45A89">
        <w:rPr>
          <w:sz w:val="24"/>
          <w:szCs w:val="24"/>
        </w:rPr>
        <w:t xml:space="preserve"> While not technically required until the first renewal of the TVOP, </w:t>
      </w:r>
      <w:proofErr w:type="spellStart"/>
      <w:r w:rsidR="007658D7">
        <w:rPr>
          <w:sz w:val="24"/>
          <w:szCs w:val="24"/>
        </w:rPr>
        <w:t>Biewer</w:t>
      </w:r>
      <w:proofErr w:type="spellEnd"/>
      <w:r>
        <w:rPr>
          <w:sz w:val="24"/>
          <w:szCs w:val="24"/>
        </w:rPr>
        <w:t xml:space="preserve"> opted to </w:t>
      </w:r>
      <w:r w:rsidR="00A45A89">
        <w:rPr>
          <w:sz w:val="24"/>
          <w:szCs w:val="24"/>
        </w:rPr>
        <w:t xml:space="preserve">incorporate CAM-related monitoring and reporting requirements within the initial TVOP for the control device attributed to the </w:t>
      </w:r>
      <w:r w:rsidR="0025062C">
        <w:rPr>
          <w:sz w:val="24"/>
          <w:szCs w:val="24"/>
        </w:rPr>
        <w:t>planer mill area [i.e. Emission Point AA-009]</w:t>
      </w:r>
      <w:r w:rsidR="00A45A89">
        <w:rPr>
          <w:sz w:val="24"/>
          <w:szCs w:val="24"/>
        </w:rPr>
        <w:t>.</w:t>
      </w:r>
    </w:p>
    <w:p w14:paraId="15335988" w14:textId="77777777" w:rsidR="00A45A89" w:rsidRDefault="00A45A89" w:rsidP="00A45A89">
      <w:pPr>
        <w:pStyle w:val="NoSpacing"/>
        <w:ind w:left="360"/>
        <w:jc w:val="both"/>
        <w:rPr>
          <w:sz w:val="24"/>
          <w:szCs w:val="24"/>
        </w:rPr>
      </w:pPr>
    </w:p>
    <w:p w14:paraId="538747CD" w14:textId="22D4FDDA" w:rsidR="00E37ECA" w:rsidRDefault="00A45A89" w:rsidP="00620F2D">
      <w:pPr>
        <w:pStyle w:val="NoSpacing"/>
        <w:numPr>
          <w:ilvl w:val="0"/>
          <w:numId w:val="4"/>
        </w:numPr>
        <w:ind w:left="360"/>
        <w:jc w:val="both"/>
        <w:rPr>
          <w:sz w:val="24"/>
          <w:szCs w:val="24"/>
        </w:rPr>
      </w:pPr>
      <w:r w:rsidRPr="00403E66">
        <w:rPr>
          <w:i/>
          <w:sz w:val="24"/>
          <w:szCs w:val="24"/>
        </w:rPr>
        <w:t xml:space="preserve">Removal of </w:t>
      </w:r>
      <w:r w:rsidR="00E37ECA" w:rsidRPr="00403E66">
        <w:rPr>
          <w:i/>
          <w:sz w:val="24"/>
          <w:szCs w:val="24"/>
        </w:rPr>
        <w:t>emission sources</w:t>
      </w:r>
      <w:r w:rsidR="00E37ECA">
        <w:rPr>
          <w:sz w:val="24"/>
          <w:szCs w:val="24"/>
        </w:rPr>
        <w:t xml:space="preserve"> – The</w:t>
      </w:r>
      <w:r w:rsidR="00E37ECA" w:rsidRPr="00E37ECA">
        <w:rPr>
          <w:sz w:val="24"/>
          <w:szCs w:val="24"/>
        </w:rPr>
        <w:t xml:space="preserve"> </w:t>
      </w:r>
      <w:r w:rsidR="00E37ECA">
        <w:rPr>
          <w:sz w:val="24"/>
          <w:szCs w:val="24"/>
        </w:rPr>
        <w:t xml:space="preserve">modified </w:t>
      </w:r>
      <w:r w:rsidR="00E37ECA" w:rsidRPr="00E37ECA">
        <w:rPr>
          <w:sz w:val="24"/>
          <w:szCs w:val="24"/>
        </w:rPr>
        <w:t xml:space="preserve">PSD Construction Permit issued on </w:t>
      </w:r>
      <w:r w:rsidR="00E37ECA">
        <w:rPr>
          <w:sz w:val="24"/>
          <w:szCs w:val="24"/>
        </w:rPr>
        <w:t xml:space="preserve">November </w:t>
      </w:r>
      <w:r w:rsidR="00E37ECA" w:rsidRPr="00E37ECA">
        <w:rPr>
          <w:sz w:val="24"/>
          <w:szCs w:val="24"/>
        </w:rPr>
        <w:t>7</w:t>
      </w:r>
      <w:r w:rsidR="00E37ECA">
        <w:rPr>
          <w:sz w:val="24"/>
          <w:szCs w:val="24"/>
        </w:rPr>
        <w:t xml:space="preserve">, 2018 </w:t>
      </w:r>
      <w:r w:rsidR="00E37ECA" w:rsidRPr="00E37ECA">
        <w:rPr>
          <w:sz w:val="24"/>
          <w:szCs w:val="24"/>
        </w:rPr>
        <w:t xml:space="preserve">authorized the construction of </w:t>
      </w:r>
      <w:r w:rsidR="00E37ECA">
        <w:rPr>
          <w:sz w:val="24"/>
          <w:szCs w:val="24"/>
        </w:rPr>
        <w:t xml:space="preserve">two (2) </w:t>
      </w:r>
      <w:r w:rsidR="004A6646">
        <w:rPr>
          <w:sz w:val="24"/>
          <w:szCs w:val="24"/>
        </w:rPr>
        <w:t>bark hogs</w:t>
      </w:r>
      <w:r w:rsidR="0025062C">
        <w:rPr>
          <w:sz w:val="24"/>
          <w:szCs w:val="24"/>
        </w:rPr>
        <w:t xml:space="preserve"> [i.e. Emission Point AA-00</w:t>
      </w:r>
      <w:r w:rsidR="004A6646">
        <w:rPr>
          <w:sz w:val="24"/>
          <w:szCs w:val="24"/>
        </w:rPr>
        <w:t>5</w:t>
      </w:r>
      <w:r w:rsidR="0025062C">
        <w:rPr>
          <w:sz w:val="24"/>
          <w:szCs w:val="24"/>
        </w:rPr>
        <w:t>]</w:t>
      </w:r>
      <w:r w:rsidR="00E37ECA">
        <w:rPr>
          <w:sz w:val="24"/>
          <w:szCs w:val="24"/>
        </w:rPr>
        <w:t xml:space="preserve"> and two (2) wood</w:t>
      </w:r>
      <w:r w:rsidR="006C2323">
        <w:rPr>
          <w:sz w:val="24"/>
          <w:szCs w:val="24"/>
        </w:rPr>
        <w:t xml:space="preserve"> </w:t>
      </w:r>
      <w:r w:rsidR="00E37ECA">
        <w:rPr>
          <w:sz w:val="24"/>
          <w:szCs w:val="24"/>
        </w:rPr>
        <w:t>chippers</w:t>
      </w:r>
      <w:r w:rsidR="0025062C">
        <w:rPr>
          <w:sz w:val="24"/>
          <w:szCs w:val="24"/>
        </w:rPr>
        <w:t xml:space="preserve"> [i.e. Emission Point AA-008]</w:t>
      </w:r>
      <w:r w:rsidR="00E37ECA">
        <w:rPr>
          <w:sz w:val="24"/>
          <w:szCs w:val="24"/>
        </w:rPr>
        <w:t xml:space="preserve">.  However, </w:t>
      </w:r>
      <w:r w:rsidR="00A26B5C">
        <w:rPr>
          <w:sz w:val="24"/>
          <w:szCs w:val="24"/>
        </w:rPr>
        <w:t>through the</w:t>
      </w:r>
      <w:r w:rsidR="00E37ECA">
        <w:rPr>
          <w:sz w:val="24"/>
          <w:szCs w:val="24"/>
        </w:rPr>
        <w:t xml:space="preserve"> revised TVOP application, </w:t>
      </w:r>
      <w:proofErr w:type="spellStart"/>
      <w:r w:rsidR="00E37ECA">
        <w:rPr>
          <w:sz w:val="24"/>
          <w:szCs w:val="24"/>
        </w:rPr>
        <w:t>Bi</w:t>
      </w:r>
      <w:r w:rsidR="007658D7">
        <w:rPr>
          <w:sz w:val="24"/>
          <w:szCs w:val="24"/>
        </w:rPr>
        <w:t>ewer</w:t>
      </w:r>
      <w:proofErr w:type="spellEnd"/>
      <w:r w:rsidR="007658D7">
        <w:rPr>
          <w:sz w:val="24"/>
          <w:szCs w:val="24"/>
        </w:rPr>
        <w:t xml:space="preserve"> </w:t>
      </w:r>
      <w:r w:rsidR="00E37ECA">
        <w:rPr>
          <w:sz w:val="24"/>
          <w:szCs w:val="24"/>
        </w:rPr>
        <w:t xml:space="preserve">clarified that one (1) </w:t>
      </w:r>
      <w:proofErr w:type="spellStart"/>
      <w:r w:rsidR="00E37ECA">
        <w:rPr>
          <w:sz w:val="24"/>
          <w:szCs w:val="24"/>
        </w:rPr>
        <w:t>debarker</w:t>
      </w:r>
      <w:proofErr w:type="spellEnd"/>
      <w:r w:rsidR="00E37ECA">
        <w:rPr>
          <w:sz w:val="24"/>
          <w:szCs w:val="24"/>
        </w:rPr>
        <w:t xml:space="preserve"> and one (1) wood chipper </w:t>
      </w:r>
      <w:r w:rsidR="0025062C">
        <w:rPr>
          <w:sz w:val="24"/>
          <w:szCs w:val="24"/>
        </w:rPr>
        <w:t>were not</w:t>
      </w:r>
      <w:r w:rsidR="00674F84">
        <w:rPr>
          <w:sz w:val="24"/>
          <w:szCs w:val="24"/>
        </w:rPr>
        <w:t xml:space="preserve"> constructed within the permitted construction window (construction was certified as complete on October 17, 2019).</w:t>
      </w:r>
    </w:p>
    <w:p w14:paraId="3B3C2A01" w14:textId="77777777" w:rsidR="00BA3BCF" w:rsidRDefault="00BA3BCF" w:rsidP="00104CE2">
      <w:pPr>
        <w:jc w:val="both"/>
        <w:rPr>
          <w:sz w:val="24"/>
          <w:szCs w:val="24"/>
          <w:u w:val="single"/>
        </w:rPr>
      </w:pPr>
    </w:p>
    <w:p w14:paraId="3D301C9C" w14:textId="6CEE4903" w:rsidR="00E72AA1" w:rsidRDefault="00AB6090" w:rsidP="00104CE2">
      <w:pPr>
        <w:jc w:val="both"/>
        <w:rPr>
          <w:sz w:val="24"/>
          <w:szCs w:val="24"/>
        </w:rPr>
      </w:pPr>
      <w:r>
        <w:rPr>
          <w:sz w:val="24"/>
          <w:szCs w:val="24"/>
          <w:u w:val="single"/>
        </w:rPr>
        <w:t>COMPLIANCE ASSURANCE MONITORING (</w:t>
      </w:r>
      <w:r w:rsidR="00531513">
        <w:rPr>
          <w:sz w:val="24"/>
          <w:szCs w:val="24"/>
          <w:u w:val="single"/>
        </w:rPr>
        <w:t>CAM</w:t>
      </w:r>
      <w:r>
        <w:rPr>
          <w:sz w:val="24"/>
          <w:szCs w:val="24"/>
          <w:u w:val="single"/>
        </w:rPr>
        <w:t>)</w:t>
      </w:r>
      <w:r w:rsidR="00531513">
        <w:rPr>
          <w:sz w:val="24"/>
          <w:szCs w:val="24"/>
          <w:u w:val="single"/>
        </w:rPr>
        <w:t xml:space="preserve"> APPLICABILITY</w:t>
      </w:r>
    </w:p>
    <w:p w14:paraId="3B3C2A03" w14:textId="0CB2A9FE" w:rsidR="00AD7559" w:rsidRPr="00AD7559" w:rsidRDefault="00AD7559" w:rsidP="00104CE2">
      <w:pPr>
        <w:jc w:val="both"/>
        <w:rPr>
          <w:sz w:val="24"/>
          <w:szCs w:val="24"/>
        </w:rPr>
      </w:pPr>
      <w:proofErr w:type="gramStart"/>
      <w:r w:rsidRPr="00AD7559">
        <w:rPr>
          <w:sz w:val="24"/>
          <w:szCs w:val="24"/>
        </w:rPr>
        <w:t>40</w:t>
      </w:r>
      <w:proofErr w:type="gramEnd"/>
      <w:r w:rsidRPr="00AD7559">
        <w:rPr>
          <w:sz w:val="24"/>
          <w:szCs w:val="24"/>
        </w:rPr>
        <w:t xml:space="preserve"> CFR Part 64 specifies the requirements for </w:t>
      </w:r>
      <w:r w:rsidR="00AB6090">
        <w:rPr>
          <w:sz w:val="24"/>
          <w:szCs w:val="24"/>
        </w:rPr>
        <w:t>CAM</w:t>
      </w:r>
      <w:r w:rsidRPr="00AD7559">
        <w:rPr>
          <w:sz w:val="24"/>
          <w:szCs w:val="24"/>
        </w:rPr>
        <w:t xml:space="preserve">.  The general applicability of this rule can be found in 40 CFR 64.2 and requires a Title V source to comply with the CAM requirements if </w:t>
      </w:r>
      <w:r>
        <w:rPr>
          <w:sz w:val="24"/>
          <w:szCs w:val="24"/>
        </w:rPr>
        <w:t>all three of the</w:t>
      </w:r>
      <w:r w:rsidRPr="00AD7559">
        <w:rPr>
          <w:sz w:val="24"/>
          <w:szCs w:val="24"/>
        </w:rPr>
        <w:t xml:space="preserve"> following criteria are met</w:t>
      </w:r>
      <w:r w:rsidR="006F0510">
        <w:rPr>
          <w:sz w:val="24"/>
          <w:szCs w:val="24"/>
        </w:rPr>
        <w:t xml:space="preserve"> for a pollutant-specific emission unit (PSEU)</w:t>
      </w:r>
      <w:r w:rsidRPr="00AD7559">
        <w:rPr>
          <w:sz w:val="24"/>
          <w:szCs w:val="24"/>
        </w:rPr>
        <w:t>:</w:t>
      </w:r>
    </w:p>
    <w:p w14:paraId="3B3C2A04" w14:textId="77777777" w:rsidR="00AD7559" w:rsidRPr="00AD7559" w:rsidRDefault="00AD7559" w:rsidP="00104CE2">
      <w:pPr>
        <w:jc w:val="both"/>
        <w:rPr>
          <w:sz w:val="24"/>
          <w:szCs w:val="24"/>
        </w:rPr>
      </w:pPr>
    </w:p>
    <w:p w14:paraId="3B3C2A05" w14:textId="0E4309BF" w:rsidR="00AD7559" w:rsidRDefault="00AD7559" w:rsidP="006605F2">
      <w:pPr>
        <w:numPr>
          <w:ilvl w:val="0"/>
          <w:numId w:val="2"/>
        </w:numPr>
        <w:ind w:left="360" w:hanging="360"/>
        <w:jc w:val="both"/>
        <w:rPr>
          <w:sz w:val="24"/>
          <w:szCs w:val="24"/>
        </w:rPr>
      </w:pPr>
      <w:r w:rsidRPr="00AD7559">
        <w:rPr>
          <w:sz w:val="24"/>
          <w:szCs w:val="24"/>
        </w:rPr>
        <w:t>The unit is subject to an emission limitation or standard for a regulated air pollutant other than exem</w:t>
      </w:r>
      <w:r>
        <w:rPr>
          <w:sz w:val="24"/>
          <w:szCs w:val="24"/>
        </w:rPr>
        <w:t>ptions under 40 CFR 64.2(b)(1);</w:t>
      </w:r>
    </w:p>
    <w:p w14:paraId="3CD9A6B3" w14:textId="77777777" w:rsidR="006605F2" w:rsidRPr="00AD7559" w:rsidRDefault="006605F2" w:rsidP="006605F2">
      <w:pPr>
        <w:ind w:left="360"/>
        <w:jc w:val="both"/>
        <w:rPr>
          <w:sz w:val="24"/>
          <w:szCs w:val="24"/>
        </w:rPr>
      </w:pPr>
    </w:p>
    <w:p w14:paraId="3B3C2A06" w14:textId="7645DA6C" w:rsidR="00AD7559" w:rsidRDefault="00AD7559" w:rsidP="006605F2">
      <w:pPr>
        <w:numPr>
          <w:ilvl w:val="0"/>
          <w:numId w:val="2"/>
        </w:numPr>
        <w:ind w:left="360" w:hanging="360"/>
        <w:jc w:val="both"/>
        <w:rPr>
          <w:sz w:val="24"/>
          <w:szCs w:val="24"/>
        </w:rPr>
      </w:pPr>
      <w:r w:rsidRPr="00AD7559">
        <w:rPr>
          <w:sz w:val="24"/>
          <w:szCs w:val="24"/>
        </w:rPr>
        <w:t xml:space="preserve">The unit uses a control device to </w:t>
      </w:r>
      <w:r>
        <w:rPr>
          <w:sz w:val="24"/>
          <w:szCs w:val="24"/>
        </w:rPr>
        <w:t>comply with</w:t>
      </w:r>
      <w:r w:rsidRPr="00AD7559">
        <w:rPr>
          <w:sz w:val="24"/>
          <w:szCs w:val="24"/>
        </w:rPr>
        <w:t xml:space="preserve"> the standard</w:t>
      </w:r>
      <w:r>
        <w:rPr>
          <w:sz w:val="24"/>
          <w:szCs w:val="24"/>
        </w:rPr>
        <w:t>;</w:t>
      </w:r>
      <w:r w:rsidRPr="00AD7559">
        <w:rPr>
          <w:sz w:val="24"/>
          <w:szCs w:val="24"/>
        </w:rPr>
        <w:t xml:space="preserve"> and</w:t>
      </w:r>
    </w:p>
    <w:p w14:paraId="70D94E8D" w14:textId="77777777" w:rsidR="006605F2" w:rsidRPr="00AD7559" w:rsidRDefault="006605F2" w:rsidP="006605F2">
      <w:pPr>
        <w:ind w:left="360"/>
        <w:jc w:val="both"/>
        <w:rPr>
          <w:sz w:val="24"/>
          <w:szCs w:val="24"/>
        </w:rPr>
      </w:pPr>
    </w:p>
    <w:p w14:paraId="3B3C2A07" w14:textId="77777777" w:rsidR="00AD7559" w:rsidRPr="00AD7559" w:rsidRDefault="00AD7559" w:rsidP="006605F2">
      <w:pPr>
        <w:numPr>
          <w:ilvl w:val="0"/>
          <w:numId w:val="2"/>
        </w:numPr>
        <w:ind w:left="360" w:hanging="360"/>
        <w:jc w:val="both"/>
        <w:rPr>
          <w:sz w:val="24"/>
          <w:szCs w:val="24"/>
        </w:rPr>
      </w:pPr>
      <w:r w:rsidRPr="00AD7559">
        <w:rPr>
          <w:sz w:val="24"/>
          <w:szCs w:val="24"/>
        </w:rPr>
        <w:t xml:space="preserve">The unit has pre-control emissions exceeding </w:t>
      </w:r>
      <w:r w:rsidR="00C72133">
        <w:rPr>
          <w:sz w:val="24"/>
          <w:szCs w:val="24"/>
        </w:rPr>
        <w:t>Title V major source threshold</w:t>
      </w:r>
      <w:r w:rsidRPr="00AD7559">
        <w:rPr>
          <w:sz w:val="24"/>
          <w:szCs w:val="24"/>
        </w:rPr>
        <w:t>.</w:t>
      </w:r>
    </w:p>
    <w:p w14:paraId="3B3C2A08" w14:textId="77777777" w:rsidR="00AD7559" w:rsidRPr="00AD7559" w:rsidRDefault="00AD7559" w:rsidP="00104CE2">
      <w:pPr>
        <w:jc w:val="both"/>
        <w:rPr>
          <w:sz w:val="24"/>
          <w:szCs w:val="24"/>
        </w:rPr>
      </w:pPr>
    </w:p>
    <w:p w14:paraId="3B3C2A09" w14:textId="0BC65D07" w:rsidR="00531513" w:rsidRPr="00BA3BCF" w:rsidRDefault="00C77343" w:rsidP="00104CE2">
      <w:pPr>
        <w:jc w:val="both"/>
        <w:rPr>
          <w:color w:val="4F81BD" w:themeColor="accent1"/>
          <w:sz w:val="24"/>
          <w:szCs w:val="24"/>
        </w:rPr>
      </w:pPr>
      <w:r w:rsidRPr="00FB219A">
        <w:rPr>
          <w:sz w:val="24"/>
          <w:szCs w:val="24"/>
        </w:rPr>
        <w:t xml:space="preserve">Based on the outlined criteria, the planer mill area (Emission Point AA-009) is subject to CAM.  </w:t>
      </w:r>
      <w:r w:rsidR="00FB219A" w:rsidRPr="00FB219A">
        <w:rPr>
          <w:sz w:val="24"/>
          <w:szCs w:val="24"/>
        </w:rPr>
        <w:t xml:space="preserve">Moreover, as the usage of a control device at the planer mill area (i.e. a </w:t>
      </w:r>
      <w:proofErr w:type="spellStart"/>
      <w:r w:rsidR="00FB219A" w:rsidRPr="00FB219A">
        <w:rPr>
          <w:sz w:val="24"/>
          <w:szCs w:val="24"/>
        </w:rPr>
        <w:t>cyclofilter</w:t>
      </w:r>
      <w:proofErr w:type="spellEnd"/>
      <w:r w:rsidR="00FB219A" w:rsidRPr="00FB219A">
        <w:rPr>
          <w:sz w:val="24"/>
          <w:szCs w:val="24"/>
        </w:rPr>
        <w:t xml:space="preserve">) reduces particulate matter </w:t>
      </w:r>
      <w:r w:rsidR="005E11B2">
        <w:rPr>
          <w:sz w:val="24"/>
          <w:szCs w:val="24"/>
        </w:rPr>
        <w:t>(PM</w:t>
      </w:r>
      <w:r w:rsidR="005E11B2" w:rsidRPr="005E11B2">
        <w:rPr>
          <w:sz w:val="24"/>
          <w:szCs w:val="24"/>
          <w:vertAlign w:val="subscript"/>
        </w:rPr>
        <w:t>10</w:t>
      </w:r>
      <w:r w:rsidR="005E11B2">
        <w:rPr>
          <w:sz w:val="24"/>
          <w:szCs w:val="24"/>
        </w:rPr>
        <w:t>; PM</w:t>
      </w:r>
      <w:r w:rsidR="005E11B2" w:rsidRPr="005E11B2">
        <w:rPr>
          <w:sz w:val="24"/>
          <w:szCs w:val="24"/>
          <w:vertAlign w:val="subscript"/>
        </w:rPr>
        <w:t>2.5</w:t>
      </w:r>
      <w:r w:rsidR="005E11B2">
        <w:rPr>
          <w:sz w:val="24"/>
          <w:szCs w:val="24"/>
        </w:rPr>
        <w:t xml:space="preserve">) </w:t>
      </w:r>
      <w:r w:rsidR="00FB219A" w:rsidRPr="00FB219A">
        <w:rPr>
          <w:sz w:val="24"/>
          <w:szCs w:val="24"/>
        </w:rPr>
        <w:t xml:space="preserve">emissions below the Title V threshold, the emission source </w:t>
      </w:r>
      <w:proofErr w:type="gramStart"/>
      <w:r w:rsidR="00FB219A" w:rsidRPr="00FB219A">
        <w:rPr>
          <w:sz w:val="24"/>
          <w:szCs w:val="24"/>
        </w:rPr>
        <w:t>is</w:t>
      </w:r>
      <w:r w:rsidR="000A4A72">
        <w:rPr>
          <w:sz w:val="24"/>
          <w:szCs w:val="24"/>
        </w:rPr>
        <w:t xml:space="preserve"> </w:t>
      </w:r>
      <w:r w:rsidR="00FB219A" w:rsidRPr="00FB219A">
        <w:rPr>
          <w:sz w:val="24"/>
          <w:szCs w:val="24"/>
        </w:rPr>
        <w:t>classified</w:t>
      </w:r>
      <w:proofErr w:type="gramEnd"/>
      <w:r w:rsidR="00FB219A" w:rsidRPr="00FB219A">
        <w:rPr>
          <w:sz w:val="24"/>
          <w:szCs w:val="24"/>
        </w:rPr>
        <w:t xml:space="preserve"> as an “</w:t>
      </w:r>
      <w:r w:rsidR="00FB219A" w:rsidRPr="00FB219A">
        <w:rPr>
          <w:i/>
          <w:sz w:val="24"/>
          <w:szCs w:val="24"/>
        </w:rPr>
        <w:t>Other</w:t>
      </w:r>
      <w:r w:rsidR="00FB219A" w:rsidRPr="00FB219A">
        <w:rPr>
          <w:sz w:val="24"/>
          <w:szCs w:val="24"/>
        </w:rPr>
        <w:t xml:space="preserve">” type.  </w:t>
      </w:r>
      <w:r w:rsidRPr="00FB219A">
        <w:rPr>
          <w:sz w:val="24"/>
          <w:szCs w:val="24"/>
        </w:rPr>
        <w:t xml:space="preserve">As such, </w:t>
      </w:r>
      <w:proofErr w:type="spellStart"/>
      <w:r w:rsidRPr="00FB219A">
        <w:rPr>
          <w:sz w:val="24"/>
          <w:szCs w:val="24"/>
        </w:rPr>
        <w:t>Biewer</w:t>
      </w:r>
      <w:proofErr w:type="spellEnd"/>
      <w:r w:rsidRPr="00FB219A">
        <w:rPr>
          <w:sz w:val="24"/>
          <w:szCs w:val="24"/>
        </w:rPr>
        <w:t xml:space="preserve"> </w:t>
      </w:r>
      <w:r w:rsidR="00FB219A" w:rsidRPr="00FB219A">
        <w:rPr>
          <w:sz w:val="24"/>
          <w:szCs w:val="24"/>
        </w:rPr>
        <w:t>is required to</w:t>
      </w:r>
      <w:r w:rsidRPr="00FB219A">
        <w:rPr>
          <w:sz w:val="24"/>
          <w:szCs w:val="24"/>
        </w:rPr>
        <w:t xml:space="preserve"> </w:t>
      </w:r>
      <w:r w:rsidR="00FB219A" w:rsidRPr="00FB219A">
        <w:rPr>
          <w:sz w:val="24"/>
          <w:szCs w:val="24"/>
        </w:rPr>
        <w:t>monitor and record the differential pressure drop daily.</w:t>
      </w:r>
    </w:p>
    <w:p w14:paraId="3B3C2A0A" w14:textId="77777777" w:rsidR="00C72133" w:rsidRDefault="00C72133" w:rsidP="00AD7559">
      <w:pPr>
        <w:jc w:val="both"/>
        <w:rPr>
          <w:sz w:val="24"/>
          <w:szCs w:val="24"/>
        </w:rPr>
      </w:pPr>
    </w:p>
    <w:p w14:paraId="3B3C2A0B" w14:textId="77777777" w:rsidR="00E77C66" w:rsidRPr="00E77C66" w:rsidRDefault="00E77C66" w:rsidP="00E77C66">
      <w:pPr>
        <w:keepNext/>
        <w:keepLines/>
        <w:jc w:val="both"/>
        <w:rPr>
          <w:b/>
          <w:sz w:val="24"/>
          <w:szCs w:val="24"/>
        </w:rPr>
      </w:pPr>
      <w:r w:rsidRPr="00E77C66">
        <w:rPr>
          <w:b/>
          <w:sz w:val="24"/>
          <w:szCs w:val="24"/>
        </w:rPr>
        <w:t>CAM Applicability Table for Sources with Control Devices</w:t>
      </w:r>
    </w:p>
    <w:tbl>
      <w:tblPr>
        <w:tblStyle w:val="TableGrid"/>
        <w:tblW w:w="10098"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95"/>
        <w:gridCol w:w="1780"/>
        <w:gridCol w:w="2101"/>
        <w:gridCol w:w="1295"/>
        <w:gridCol w:w="1310"/>
        <w:gridCol w:w="1079"/>
        <w:gridCol w:w="1538"/>
      </w:tblGrid>
      <w:tr w:rsidR="006F0510" w:rsidRPr="006E74C7" w14:paraId="3B3C2A15" w14:textId="77777777" w:rsidTr="00C77343">
        <w:trPr>
          <w:tblHeader/>
          <w:jc w:val="center"/>
        </w:trPr>
        <w:tc>
          <w:tcPr>
            <w:tcW w:w="995" w:type="dxa"/>
            <w:tcBorders>
              <w:top w:val="double" w:sz="4" w:space="0" w:color="auto"/>
            </w:tcBorders>
            <w:shd w:val="clear" w:color="auto" w:fill="D9D9D9" w:themeFill="background1" w:themeFillShade="D9"/>
            <w:vAlign w:val="center"/>
          </w:tcPr>
          <w:p w14:paraId="3B3C2A0C" w14:textId="77777777" w:rsidR="006F0510" w:rsidRPr="006E74C7" w:rsidRDefault="006F0510" w:rsidP="00E77C66">
            <w:pPr>
              <w:keepNext/>
              <w:keepLines/>
              <w:spacing w:before="60" w:after="60"/>
              <w:jc w:val="center"/>
              <w:rPr>
                <w:b/>
                <w:szCs w:val="24"/>
              </w:rPr>
            </w:pPr>
            <w:r w:rsidRPr="006E74C7">
              <w:rPr>
                <w:b/>
                <w:szCs w:val="24"/>
              </w:rPr>
              <w:t>Emission Point ID</w:t>
            </w:r>
          </w:p>
        </w:tc>
        <w:tc>
          <w:tcPr>
            <w:tcW w:w="1780" w:type="dxa"/>
            <w:tcBorders>
              <w:top w:val="double" w:sz="4" w:space="0" w:color="auto"/>
            </w:tcBorders>
            <w:shd w:val="clear" w:color="auto" w:fill="D9D9D9" w:themeFill="background1" w:themeFillShade="D9"/>
            <w:vAlign w:val="center"/>
          </w:tcPr>
          <w:p w14:paraId="3B3C2A0D" w14:textId="77777777" w:rsidR="006F0510" w:rsidRDefault="006F0510" w:rsidP="005F6106">
            <w:pPr>
              <w:keepNext/>
              <w:keepLines/>
              <w:spacing w:before="60"/>
              <w:jc w:val="center"/>
              <w:rPr>
                <w:b/>
                <w:szCs w:val="24"/>
              </w:rPr>
            </w:pPr>
            <w:r w:rsidRPr="006E74C7">
              <w:rPr>
                <w:b/>
                <w:szCs w:val="24"/>
              </w:rPr>
              <w:t>Control Device</w:t>
            </w:r>
            <w:r>
              <w:rPr>
                <w:b/>
                <w:szCs w:val="24"/>
              </w:rPr>
              <w:t xml:space="preserve"> </w:t>
            </w:r>
          </w:p>
          <w:p w14:paraId="3B3C2A0E" w14:textId="77777777" w:rsidR="006F0510" w:rsidRPr="006E74C7" w:rsidRDefault="006F0510" w:rsidP="005F6106">
            <w:pPr>
              <w:keepNext/>
              <w:keepLines/>
              <w:spacing w:after="60"/>
              <w:jc w:val="center"/>
              <w:rPr>
                <w:b/>
                <w:szCs w:val="24"/>
              </w:rPr>
            </w:pPr>
            <w:r>
              <w:rPr>
                <w:b/>
                <w:szCs w:val="24"/>
              </w:rPr>
              <w:t>(not including inherent controls)</w:t>
            </w:r>
          </w:p>
        </w:tc>
        <w:tc>
          <w:tcPr>
            <w:tcW w:w="2101" w:type="dxa"/>
            <w:tcBorders>
              <w:top w:val="double" w:sz="4" w:space="0" w:color="auto"/>
            </w:tcBorders>
            <w:shd w:val="clear" w:color="auto" w:fill="D9D9D9" w:themeFill="background1" w:themeFillShade="D9"/>
            <w:vAlign w:val="center"/>
          </w:tcPr>
          <w:p w14:paraId="3B3C2A0F" w14:textId="3577FC20" w:rsidR="006F0510" w:rsidRPr="006E74C7" w:rsidRDefault="006F0510" w:rsidP="00E77C66">
            <w:pPr>
              <w:keepNext/>
              <w:keepLines/>
              <w:spacing w:before="60" w:after="60"/>
              <w:jc w:val="center"/>
              <w:rPr>
                <w:b/>
                <w:szCs w:val="24"/>
              </w:rPr>
            </w:pPr>
            <w:r w:rsidRPr="006E74C7">
              <w:rPr>
                <w:b/>
                <w:szCs w:val="24"/>
              </w:rPr>
              <w:t>Applicable Limit</w:t>
            </w:r>
            <w:r w:rsidR="00C77343">
              <w:rPr>
                <w:b/>
                <w:szCs w:val="24"/>
              </w:rPr>
              <w:t xml:space="preserve"> </w:t>
            </w:r>
            <w:r w:rsidRPr="006E74C7">
              <w:rPr>
                <w:b/>
                <w:szCs w:val="24"/>
              </w:rPr>
              <w:t>/ Standard</w:t>
            </w:r>
          </w:p>
        </w:tc>
        <w:tc>
          <w:tcPr>
            <w:tcW w:w="1295" w:type="dxa"/>
            <w:tcBorders>
              <w:top w:val="double" w:sz="4" w:space="0" w:color="auto"/>
            </w:tcBorders>
            <w:shd w:val="clear" w:color="auto" w:fill="D9D9D9" w:themeFill="background1" w:themeFillShade="D9"/>
          </w:tcPr>
          <w:p w14:paraId="3B3C2A10" w14:textId="77777777" w:rsidR="006F0510" w:rsidRPr="006E74C7" w:rsidRDefault="006F0510" w:rsidP="00E77C66">
            <w:pPr>
              <w:keepNext/>
              <w:keepLines/>
              <w:spacing w:before="60" w:after="60"/>
              <w:jc w:val="center"/>
              <w:rPr>
                <w:b/>
                <w:szCs w:val="24"/>
              </w:rPr>
            </w:pPr>
            <w:r>
              <w:rPr>
                <w:b/>
                <w:szCs w:val="24"/>
              </w:rPr>
              <w:t>Is standard exempt? (Yes/No)</w:t>
            </w:r>
          </w:p>
        </w:tc>
        <w:tc>
          <w:tcPr>
            <w:tcW w:w="1310" w:type="dxa"/>
            <w:tcBorders>
              <w:top w:val="double" w:sz="4" w:space="0" w:color="auto"/>
            </w:tcBorders>
            <w:shd w:val="clear" w:color="auto" w:fill="D9D9D9" w:themeFill="background1" w:themeFillShade="D9"/>
            <w:vAlign w:val="center"/>
          </w:tcPr>
          <w:p w14:paraId="3B3C2A11" w14:textId="77777777" w:rsidR="006F0510" w:rsidRPr="006E74C7" w:rsidRDefault="006F0510" w:rsidP="00E77C66">
            <w:pPr>
              <w:keepNext/>
              <w:keepLines/>
              <w:spacing w:before="60" w:after="60"/>
              <w:jc w:val="center"/>
              <w:rPr>
                <w:b/>
                <w:szCs w:val="24"/>
              </w:rPr>
            </w:pPr>
            <w:r w:rsidRPr="006E74C7">
              <w:rPr>
                <w:b/>
                <w:szCs w:val="24"/>
              </w:rPr>
              <w:t xml:space="preserve">Pre-Control &gt; 100 </w:t>
            </w:r>
            <w:proofErr w:type="spellStart"/>
            <w:r w:rsidRPr="006E74C7">
              <w:rPr>
                <w:b/>
                <w:szCs w:val="24"/>
              </w:rPr>
              <w:t>tpy</w:t>
            </w:r>
            <w:proofErr w:type="spellEnd"/>
            <w:r w:rsidRPr="006E74C7">
              <w:rPr>
                <w:b/>
                <w:szCs w:val="24"/>
              </w:rPr>
              <w:t xml:space="preserve"> (Yes/No)</w:t>
            </w:r>
          </w:p>
        </w:tc>
        <w:tc>
          <w:tcPr>
            <w:tcW w:w="1079" w:type="dxa"/>
            <w:tcBorders>
              <w:top w:val="double" w:sz="4" w:space="0" w:color="auto"/>
            </w:tcBorders>
            <w:shd w:val="clear" w:color="auto" w:fill="D9D9D9" w:themeFill="background1" w:themeFillShade="D9"/>
            <w:vAlign w:val="center"/>
          </w:tcPr>
          <w:p w14:paraId="3B3C2A12" w14:textId="77777777" w:rsidR="006F0510" w:rsidRPr="006E74C7" w:rsidRDefault="006F0510" w:rsidP="00E77C66">
            <w:pPr>
              <w:keepNext/>
              <w:keepLines/>
              <w:spacing w:before="60" w:after="60"/>
              <w:jc w:val="center"/>
              <w:rPr>
                <w:b/>
                <w:szCs w:val="24"/>
              </w:rPr>
            </w:pPr>
            <w:r>
              <w:rPr>
                <w:b/>
                <w:szCs w:val="24"/>
              </w:rPr>
              <w:t xml:space="preserve">CAM </w:t>
            </w:r>
            <w:proofErr w:type="gramStart"/>
            <w:r>
              <w:rPr>
                <w:b/>
                <w:szCs w:val="24"/>
              </w:rPr>
              <w:t>Applies?</w:t>
            </w:r>
            <w:proofErr w:type="gramEnd"/>
            <w:r>
              <w:rPr>
                <w:b/>
                <w:szCs w:val="24"/>
              </w:rPr>
              <w:t xml:space="preserve"> (Yes/No)</w:t>
            </w:r>
          </w:p>
        </w:tc>
        <w:tc>
          <w:tcPr>
            <w:tcW w:w="1538" w:type="dxa"/>
            <w:tcBorders>
              <w:top w:val="double" w:sz="4" w:space="0" w:color="auto"/>
            </w:tcBorders>
            <w:shd w:val="clear" w:color="auto" w:fill="D9D9D9" w:themeFill="background1" w:themeFillShade="D9"/>
            <w:vAlign w:val="center"/>
          </w:tcPr>
          <w:p w14:paraId="3B3C2A13" w14:textId="77777777" w:rsidR="006F0510" w:rsidRDefault="006F0510" w:rsidP="006F0510">
            <w:pPr>
              <w:keepNext/>
              <w:keepLines/>
              <w:spacing w:before="60"/>
              <w:jc w:val="center"/>
              <w:rPr>
                <w:b/>
                <w:szCs w:val="24"/>
              </w:rPr>
            </w:pPr>
            <w:r>
              <w:rPr>
                <w:b/>
                <w:szCs w:val="24"/>
              </w:rPr>
              <w:t>Type of CAM PSEU</w:t>
            </w:r>
          </w:p>
          <w:p w14:paraId="3B3C2A14" w14:textId="77777777" w:rsidR="006F0510" w:rsidRDefault="006F0510" w:rsidP="006F0510">
            <w:pPr>
              <w:keepNext/>
              <w:keepLines/>
              <w:spacing w:after="60"/>
              <w:jc w:val="center"/>
              <w:rPr>
                <w:b/>
                <w:szCs w:val="24"/>
              </w:rPr>
            </w:pPr>
            <w:r>
              <w:rPr>
                <w:b/>
                <w:szCs w:val="24"/>
              </w:rPr>
              <w:t>(Large/Other)</w:t>
            </w:r>
          </w:p>
        </w:tc>
      </w:tr>
      <w:tr w:rsidR="006F0510" w:rsidRPr="006E74C7" w14:paraId="3B3C2A1D" w14:textId="77777777" w:rsidTr="00C77343">
        <w:trPr>
          <w:trHeight w:val="593"/>
          <w:tblHeader/>
          <w:jc w:val="center"/>
        </w:trPr>
        <w:tc>
          <w:tcPr>
            <w:tcW w:w="995" w:type="dxa"/>
            <w:vAlign w:val="center"/>
          </w:tcPr>
          <w:p w14:paraId="3B3C2A16" w14:textId="7A4EA90E" w:rsidR="006F0510" w:rsidRPr="00E72AA1" w:rsidRDefault="00E72AA1" w:rsidP="00E72AA1">
            <w:pPr>
              <w:spacing w:before="60" w:after="60"/>
              <w:jc w:val="center"/>
              <w:rPr>
                <w:szCs w:val="24"/>
              </w:rPr>
            </w:pPr>
            <w:r w:rsidRPr="00E72AA1">
              <w:rPr>
                <w:szCs w:val="24"/>
              </w:rPr>
              <w:t>AA-009</w:t>
            </w:r>
          </w:p>
        </w:tc>
        <w:tc>
          <w:tcPr>
            <w:tcW w:w="1780" w:type="dxa"/>
            <w:vAlign w:val="center"/>
          </w:tcPr>
          <w:p w14:paraId="3B3C2A17" w14:textId="25BA6466" w:rsidR="006F0510" w:rsidRPr="00E72AA1" w:rsidRDefault="00E72AA1" w:rsidP="00E72AA1">
            <w:pPr>
              <w:spacing w:before="60" w:after="60"/>
              <w:jc w:val="center"/>
              <w:rPr>
                <w:szCs w:val="24"/>
              </w:rPr>
            </w:pPr>
            <w:proofErr w:type="spellStart"/>
            <w:r w:rsidRPr="00E72AA1">
              <w:rPr>
                <w:szCs w:val="24"/>
              </w:rPr>
              <w:t>Cyclofilter</w:t>
            </w:r>
            <w:proofErr w:type="spellEnd"/>
          </w:p>
        </w:tc>
        <w:tc>
          <w:tcPr>
            <w:tcW w:w="2101" w:type="dxa"/>
            <w:vAlign w:val="center"/>
          </w:tcPr>
          <w:p w14:paraId="26AFE361" w14:textId="77777777" w:rsidR="00C77343" w:rsidRDefault="00E72AA1" w:rsidP="00E72AA1">
            <w:pPr>
              <w:spacing w:before="60" w:after="60"/>
              <w:jc w:val="center"/>
              <w:rPr>
                <w:szCs w:val="24"/>
              </w:rPr>
            </w:pPr>
            <w:r w:rsidRPr="00E72AA1">
              <w:rPr>
                <w:szCs w:val="24"/>
              </w:rPr>
              <w:t>20.93 tons / hour</w:t>
            </w:r>
          </w:p>
          <w:p w14:paraId="3B3C2A18" w14:textId="55CC90D5" w:rsidR="006F0510" w:rsidRPr="00E72AA1" w:rsidRDefault="00C77343" w:rsidP="00E72AA1">
            <w:pPr>
              <w:spacing w:before="60" w:after="60"/>
              <w:jc w:val="center"/>
              <w:rPr>
                <w:szCs w:val="24"/>
              </w:rPr>
            </w:pPr>
            <w:r w:rsidRPr="00C77343">
              <w:rPr>
                <w:szCs w:val="24"/>
              </w:rPr>
              <w:t xml:space="preserve">70,000 </w:t>
            </w:r>
            <w:proofErr w:type="spellStart"/>
            <w:r w:rsidRPr="00C77343">
              <w:rPr>
                <w:szCs w:val="24"/>
              </w:rPr>
              <w:t>tpy</w:t>
            </w:r>
            <w:proofErr w:type="spellEnd"/>
            <w:r w:rsidRPr="00C77343">
              <w:rPr>
                <w:szCs w:val="24"/>
              </w:rPr>
              <w:t xml:space="preserve"> (12-Month Rolling Total)</w:t>
            </w:r>
          </w:p>
        </w:tc>
        <w:tc>
          <w:tcPr>
            <w:tcW w:w="1295" w:type="dxa"/>
            <w:vAlign w:val="center"/>
          </w:tcPr>
          <w:p w14:paraId="3B3C2A19" w14:textId="77777777" w:rsidR="006F0510" w:rsidRPr="00E72AA1" w:rsidRDefault="006F0510" w:rsidP="00E72AA1">
            <w:pPr>
              <w:spacing w:before="60" w:after="60"/>
              <w:jc w:val="center"/>
              <w:rPr>
                <w:szCs w:val="24"/>
              </w:rPr>
            </w:pPr>
            <w:r w:rsidRPr="00E72AA1">
              <w:rPr>
                <w:szCs w:val="24"/>
              </w:rPr>
              <w:t>No</w:t>
            </w:r>
          </w:p>
        </w:tc>
        <w:tc>
          <w:tcPr>
            <w:tcW w:w="1310" w:type="dxa"/>
            <w:vAlign w:val="center"/>
          </w:tcPr>
          <w:p w14:paraId="3B3C2A1A" w14:textId="29E63E49" w:rsidR="006F0510" w:rsidRPr="00E72AA1" w:rsidRDefault="00E72AA1" w:rsidP="00E72AA1">
            <w:pPr>
              <w:spacing w:before="60" w:after="60"/>
              <w:jc w:val="center"/>
              <w:rPr>
                <w:szCs w:val="24"/>
              </w:rPr>
            </w:pPr>
            <w:r w:rsidRPr="00E72AA1">
              <w:rPr>
                <w:szCs w:val="24"/>
              </w:rPr>
              <w:t>Yes</w:t>
            </w:r>
          </w:p>
        </w:tc>
        <w:tc>
          <w:tcPr>
            <w:tcW w:w="1079" w:type="dxa"/>
            <w:vAlign w:val="center"/>
          </w:tcPr>
          <w:p w14:paraId="3B3C2A1B" w14:textId="665DADC6" w:rsidR="006F0510" w:rsidRPr="00E72AA1" w:rsidRDefault="00E72AA1" w:rsidP="00E72AA1">
            <w:pPr>
              <w:spacing w:before="60" w:after="60"/>
              <w:jc w:val="center"/>
              <w:rPr>
                <w:szCs w:val="24"/>
              </w:rPr>
            </w:pPr>
            <w:r w:rsidRPr="00E72AA1">
              <w:rPr>
                <w:szCs w:val="24"/>
              </w:rPr>
              <w:t>Yes</w:t>
            </w:r>
          </w:p>
        </w:tc>
        <w:tc>
          <w:tcPr>
            <w:tcW w:w="1538" w:type="dxa"/>
            <w:vAlign w:val="center"/>
          </w:tcPr>
          <w:p w14:paraId="3B3C2A1C" w14:textId="69E9C438" w:rsidR="006F0510" w:rsidRPr="00E72AA1" w:rsidRDefault="00E72AA1" w:rsidP="00E72AA1">
            <w:pPr>
              <w:spacing w:before="60" w:after="60"/>
              <w:jc w:val="center"/>
              <w:rPr>
                <w:szCs w:val="24"/>
              </w:rPr>
            </w:pPr>
            <w:r w:rsidRPr="00E72AA1">
              <w:rPr>
                <w:szCs w:val="24"/>
              </w:rPr>
              <w:t>Other</w:t>
            </w:r>
          </w:p>
        </w:tc>
      </w:tr>
    </w:tbl>
    <w:p w14:paraId="3B3C2A46" w14:textId="77777777" w:rsidR="00C72133" w:rsidRDefault="00C72133" w:rsidP="00AD7559">
      <w:pPr>
        <w:jc w:val="both"/>
        <w:rPr>
          <w:sz w:val="24"/>
          <w:szCs w:val="24"/>
        </w:rPr>
      </w:pPr>
    </w:p>
    <w:p w14:paraId="3B3C2A47" w14:textId="77777777" w:rsidR="00531513" w:rsidRDefault="00531513" w:rsidP="00531513">
      <w:pPr>
        <w:rPr>
          <w:sz w:val="24"/>
          <w:szCs w:val="24"/>
        </w:rPr>
      </w:pPr>
    </w:p>
    <w:p w14:paraId="041BF896" w14:textId="791C6E7F" w:rsidR="000A4A72" w:rsidRDefault="00AE4F70" w:rsidP="0025062C">
      <w:pPr>
        <w:jc w:val="both"/>
        <w:rPr>
          <w:sz w:val="24"/>
          <w:szCs w:val="24"/>
        </w:rPr>
      </w:pPr>
      <w:r>
        <w:rPr>
          <w:sz w:val="24"/>
          <w:szCs w:val="24"/>
          <w:u w:val="single"/>
        </w:rPr>
        <w:t xml:space="preserve">NATIONAL EMISSION STANDARDS FOR HAZARDOUS AIR POLLUTANTS (NESHAP) </w:t>
      </w:r>
      <w:r w:rsidR="00531513">
        <w:rPr>
          <w:sz w:val="24"/>
          <w:szCs w:val="24"/>
          <w:u w:val="single"/>
        </w:rPr>
        <w:t>APPLICABILITY</w:t>
      </w:r>
    </w:p>
    <w:p w14:paraId="4292318F" w14:textId="370EC8C9" w:rsidR="000A4A72" w:rsidRDefault="000A4A72" w:rsidP="000A4A72">
      <w:pPr>
        <w:pStyle w:val="NoSpacing"/>
        <w:jc w:val="both"/>
        <w:rPr>
          <w:sz w:val="24"/>
          <w:szCs w:val="24"/>
        </w:rPr>
      </w:pPr>
      <w:proofErr w:type="gramStart"/>
      <w:r w:rsidRPr="000A4A72">
        <w:rPr>
          <w:b/>
          <w:sz w:val="24"/>
          <w:szCs w:val="24"/>
        </w:rPr>
        <w:lastRenderedPageBreak/>
        <w:t>40</w:t>
      </w:r>
      <w:proofErr w:type="gramEnd"/>
      <w:r w:rsidRPr="000A4A72">
        <w:rPr>
          <w:b/>
          <w:sz w:val="24"/>
          <w:szCs w:val="24"/>
        </w:rPr>
        <w:t xml:space="preserve"> CFR Part 63, Subpart DDDD – National Emission Standards for Hazardous Air Pollutants: Plywood and Composite Wood Products</w:t>
      </w:r>
    </w:p>
    <w:p w14:paraId="54B24E3F" w14:textId="77777777" w:rsidR="000A4A72" w:rsidRDefault="000A4A72" w:rsidP="000A4A72">
      <w:pPr>
        <w:pStyle w:val="NoSpacing"/>
        <w:jc w:val="both"/>
        <w:rPr>
          <w:sz w:val="24"/>
          <w:szCs w:val="24"/>
        </w:rPr>
      </w:pPr>
    </w:p>
    <w:p w14:paraId="2F977037" w14:textId="2F907A58" w:rsidR="005E11B2" w:rsidRDefault="005E11B2" w:rsidP="000A4A72">
      <w:pPr>
        <w:pStyle w:val="NoSpacing"/>
        <w:jc w:val="both"/>
        <w:rPr>
          <w:sz w:val="24"/>
          <w:szCs w:val="24"/>
        </w:rPr>
      </w:pPr>
      <w:proofErr w:type="spellStart"/>
      <w:r>
        <w:rPr>
          <w:sz w:val="24"/>
          <w:szCs w:val="24"/>
        </w:rPr>
        <w:t>Biewer</w:t>
      </w:r>
      <w:proofErr w:type="spellEnd"/>
      <w:r>
        <w:rPr>
          <w:sz w:val="24"/>
          <w:szCs w:val="24"/>
        </w:rPr>
        <w:t xml:space="preserve"> is</w:t>
      </w:r>
      <w:r w:rsidRPr="00D86531">
        <w:rPr>
          <w:sz w:val="24"/>
          <w:szCs w:val="24"/>
        </w:rPr>
        <w:t xml:space="preserve"> subj</w:t>
      </w:r>
      <w:r>
        <w:rPr>
          <w:sz w:val="24"/>
          <w:szCs w:val="24"/>
        </w:rPr>
        <w:t xml:space="preserve">ect to this subpart because it </w:t>
      </w:r>
      <w:r w:rsidRPr="00D86531">
        <w:rPr>
          <w:sz w:val="24"/>
          <w:szCs w:val="24"/>
        </w:rPr>
        <w:t xml:space="preserve">meets all </w:t>
      </w:r>
      <w:r>
        <w:rPr>
          <w:sz w:val="24"/>
          <w:szCs w:val="24"/>
        </w:rPr>
        <w:t xml:space="preserve">of the following </w:t>
      </w:r>
      <w:r w:rsidRPr="00D86531">
        <w:rPr>
          <w:sz w:val="24"/>
          <w:szCs w:val="24"/>
        </w:rPr>
        <w:t>qualifying criteria:</w:t>
      </w:r>
    </w:p>
    <w:p w14:paraId="5FB8B516" w14:textId="77777777" w:rsidR="005E11B2" w:rsidRDefault="005E11B2" w:rsidP="005E11B2">
      <w:pPr>
        <w:pStyle w:val="NoSpacing"/>
        <w:rPr>
          <w:sz w:val="24"/>
          <w:szCs w:val="24"/>
        </w:rPr>
      </w:pPr>
      <w:r w:rsidRPr="00D86531">
        <w:rPr>
          <w:sz w:val="24"/>
          <w:szCs w:val="24"/>
        </w:rPr>
        <w:t xml:space="preserve"> </w:t>
      </w:r>
    </w:p>
    <w:p w14:paraId="4C07F54B" w14:textId="7442EBEE" w:rsidR="005E11B2" w:rsidRDefault="005E11B2" w:rsidP="000A4A72">
      <w:pPr>
        <w:pStyle w:val="NoSpacing"/>
        <w:tabs>
          <w:tab w:val="left" w:pos="540"/>
        </w:tabs>
        <w:ind w:left="540" w:hanging="540"/>
        <w:jc w:val="both"/>
        <w:rPr>
          <w:sz w:val="24"/>
          <w:szCs w:val="24"/>
        </w:rPr>
      </w:pPr>
      <w:r>
        <w:rPr>
          <w:sz w:val="24"/>
          <w:szCs w:val="24"/>
        </w:rPr>
        <w:t>(1)</w:t>
      </w:r>
      <w:r>
        <w:rPr>
          <w:sz w:val="24"/>
          <w:szCs w:val="24"/>
        </w:rPr>
        <w:tab/>
        <w:t>L</w:t>
      </w:r>
      <w:r w:rsidRPr="00D86531">
        <w:rPr>
          <w:sz w:val="24"/>
          <w:szCs w:val="24"/>
        </w:rPr>
        <w:t xml:space="preserve">umber kilns </w:t>
      </w:r>
      <w:proofErr w:type="gramStart"/>
      <w:r w:rsidRPr="00D86531">
        <w:rPr>
          <w:sz w:val="24"/>
          <w:szCs w:val="24"/>
        </w:rPr>
        <w:t xml:space="preserve">are </w:t>
      </w:r>
      <w:r>
        <w:rPr>
          <w:sz w:val="24"/>
          <w:szCs w:val="24"/>
        </w:rPr>
        <w:t>operated</w:t>
      </w:r>
      <w:proofErr w:type="gramEnd"/>
      <w:r w:rsidRPr="00D86531">
        <w:rPr>
          <w:sz w:val="24"/>
          <w:szCs w:val="24"/>
        </w:rPr>
        <w:t xml:space="preserve"> on-site</w:t>
      </w:r>
      <w:r>
        <w:rPr>
          <w:sz w:val="24"/>
          <w:szCs w:val="24"/>
        </w:rPr>
        <w:t xml:space="preserve"> (i.e. Emission Points AA-001 through AA-003 and AA-015)</w:t>
      </w:r>
      <w:r w:rsidRPr="00D86531">
        <w:rPr>
          <w:sz w:val="24"/>
          <w:szCs w:val="24"/>
        </w:rPr>
        <w:t>;</w:t>
      </w:r>
    </w:p>
    <w:p w14:paraId="685A1217" w14:textId="77777777" w:rsidR="005E11B2" w:rsidRDefault="005E11B2" w:rsidP="005E11B2">
      <w:pPr>
        <w:pStyle w:val="NoSpacing"/>
        <w:ind w:left="360"/>
        <w:rPr>
          <w:sz w:val="24"/>
          <w:szCs w:val="24"/>
        </w:rPr>
      </w:pPr>
      <w:r w:rsidRPr="00D86531">
        <w:rPr>
          <w:sz w:val="24"/>
          <w:szCs w:val="24"/>
        </w:rPr>
        <w:t xml:space="preserve"> </w:t>
      </w:r>
    </w:p>
    <w:p w14:paraId="6274E002" w14:textId="77777777" w:rsidR="005E11B2" w:rsidRDefault="005E11B2" w:rsidP="000A4A72">
      <w:pPr>
        <w:pStyle w:val="NoSpacing"/>
        <w:tabs>
          <w:tab w:val="left" w:pos="540"/>
        </w:tabs>
        <w:ind w:left="540" w:hanging="540"/>
        <w:jc w:val="both"/>
        <w:rPr>
          <w:sz w:val="24"/>
          <w:szCs w:val="24"/>
        </w:rPr>
      </w:pPr>
      <w:r>
        <w:rPr>
          <w:sz w:val="24"/>
          <w:szCs w:val="24"/>
        </w:rPr>
        <w:t>(2)</w:t>
      </w:r>
      <w:r>
        <w:rPr>
          <w:sz w:val="24"/>
          <w:szCs w:val="24"/>
        </w:rPr>
        <w:tab/>
        <w:t>T</w:t>
      </w:r>
      <w:r w:rsidRPr="00D86531">
        <w:rPr>
          <w:sz w:val="24"/>
          <w:szCs w:val="24"/>
        </w:rPr>
        <w:t xml:space="preserve">he facility produces </w:t>
      </w:r>
      <w:r>
        <w:rPr>
          <w:sz w:val="24"/>
          <w:szCs w:val="24"/>
        </w:rPr>
        <w:t>kiln-dried lumber, which is considered a “</w:t>
      </w:r>
      <w:r w:rsidRPr="00F83757">
        <w:rPr>
          <w:i/>
          <w:sz w:val="24"/>
          <w:szCs w:val="24"/>
        </w:rPr>
        <w:t>composite wood product</w:t>
      </w:r>
      <w:r>
        <w:rPr>
          <w:sz w:val="24"/>
          <w:szCs w:val="24"/>
        </w:rPr>
        <w:t>”; and</w:t>
      </w:r>
    </w:p>
    <w:p w14:paraId="38C29CE5" w14:textId="77777777" w:rsidR="005E11B2" w:rsidRDefault="005E11B2" w:rsidP="005E11B2">
      <w:pPr>
        <w:pStyle w:val="NoSpacing"/>
        <w:tabs>
          <w:tab w:val="left" w:pos="540"/>
        </w:tabs>
        <w:ind w:left="540" w:hanging="540"/>
        <w:rPr>
          <w:sz w:val="24"/>
          <w:szCs w:val="24"/>
        </w:rPr>
      </w:pPr>
    </w:p>
    <w:p w14:paraId="1D09D3D0" w14:textId="77777777" w:rsidR="005E11B2" w:rsidRPr="00D86531" w:rsidRDefault="005E11B2" w:rsidP="005E11B2">
      <w:pPr>
        <w:pStyle w:val="NoSpacing"/>
        <w:tabs>
          <w:tab w:val="left" w:pos="540"/>
        </w:tabs>
        <w:ind w:left="540" w:hanging="540"/>
        <w:rPr>
          <w:sz w:val="24"/>
          <w:szCs w:val="24"/>
        </w:rPr>
      </w:pPr>
      <w:r>
        <w:rPr>
          <w:sz w:val="24"/>
          <w:szCs w:val="24"/>
        </w:rPr>
        <w:t>(3)</w:t>
      </w:r>
      <w:r>
        <w:rPr>
          <w:sz w:val="24"/>
          <w:szCs w:val="24"/>
        </w:rPr>
        <w:tab/>
        <w:t>T</w:t>
      </w:r>
      <w:r w:rsidRPr="00D86531">
        <w:rPr>
          <w:sz w:val="24"/>
          <w:szCs w:val="24"/>
        </w:rPr>
        <w:t>he facility is a major source of HAP emissions.</w:t>
      </w:r>
    </w:p>
    <w:p w14:paraId="1D0F8524" w14:textId="77777777" w:rsidR="005E11B2" w:rsidRPr="00D86531" w:rsidRDefault="005E11B2" w:rsidP="005E11B2">
      <w:pPr>
        <w:pStyle w:val="NoSpacing"/>
        <w:rPr>
          <w:sz w:val="24"/>
          <w:szCs w:val="24"/>
        </w:rPr>
      </w:pPr>
    </w:p>
    <w:p w14:paraId="3B3C2A49" w14:textId="0EDB588B" w:rsidR="00531513" w:rsidRDefault="005E11B2" w:rsidP="000A4A72">
      <w:pPr>
        <w:pStyle w:val="NoSpacing"/>
        <w:jc w:val="both"/>
        <w:rPr>
          <w:color w:val="4F81BD" w:themeColor="accent1"/>
          <w:sz w:val="24"/>
          <w:szCs w:val="24"/>
        </w:rPr>
      </w:pPr>
      <w:r>
        <w:rPr>
          <w:sz w:val="24"/>
          <w:szCs w:val="24"/>
        </w:rPr>
        <w:t>While technically subject to the subpart, t</w:t>
      </w:r>
      <w:r w:rsidRPr="00D86531">
        <w:rPr>
          <w:sz w:val="24"/>
          <w:szCs w:val="24"/>
        </w:rPr>
        <w:t xml:space="preserve">he </w:t>
      </w:r>
      <w:r>
        <w:rPr>
          <w:sz w:val="24"/>
          <w:szCs w:val="24"/>
        </w:rPr>
        <w:t xml:space="preserve">applicable </w:t>
      </w:r>
      <w:r w:rsidRPr="00D86531">
        <w:rPr>
          <w:sz w:val="24"/>
          <w:szCs w:val="24"/>
        </w:rPr>
        <w:t xml:space="preserve">emission </w:t>
      </w:r>
      <w:r>
        <w:rPr>
          <w:sz w:val="24"/>
          <w:szCs w:val="24"/>
        </w:rPr>
        <w:t xml:space="preserve">sources </w:t>
      </w:r>
      <w:r w:rsidRPr="00D86531">
        <w:rPr>
          <w:sz w:val="24"/>
          <w:szCs w:val="24"/>
        </w:rPr>
        <w:t>are not</w:t>
      </w:r>
      <w:r>
        <w:rPr>
          <w:sz w:val="24"/>
          <w:szCs w:val="24"/>
        </w:rPr>
        <w:t xml:space="preserve"> specifically</w:t>
      </w:r>
      <w:r w:rsidRPr="00D86531">
        <w:rPr>
          <w:sz w:val="24"/>
          <w:szCs w:val="24"/>
        </w:rPr>
        <w:t xml:space="preserve"> subject to </w:t>
      </w:r>
      <w:r>
        <w:rPr>
          <w:sz w:val="24"/>
          <w:szCs w:val="24"/>
        </w:rPr>
        <w:t>any</w:t>
      </w:r>
      <w:r w:rsidRPr="00D86531">
        <w:rPr>
          <w:sz w:val="24"/>
          <w:szCs w:val="24"/>
        </w:rPr>
        <w:t xml:space="preserve"> </w:t>
      </w:r>
      <w:r>
        <w:rPr>
          <w:sz w:val="24"/>
          <w:szCs w:val="24"/>
        </w:rPr>
        <w:t xml:space="preserve">promulgated </w:t>
      </w:r>
      <w:r w:rsidRPr="00D86531">
        <w:rPr>
          <w:sz w:val="24"/>
          <w:szCs w:val="24"/>
        </w:rPr>
        <w:t>compliance options</w:t>
      </w:r>
      <w:r>
        <w:rPr>
          <w:sz w:val="24"/>
          <w:szCs w:val="24"/>
        </w:rPr>
        <w:t>, operating requirements</w:t>
      </w:r>
      <w:r w:rsidRPr="00D86531">
        <w:rPr>
          <w:sz w:val="24"/>
          <w:szCs w:val="24"/>
        </w:rPr>
        <w:t xml:space="preserve"> and work practice requirements</w:t>
      </w:r>
      <w:r>
        <w:rPr>
          <w:sz w:val="24"/>
          <w:szCs w:val="24"/>
        </w:rPr>
        <w:t>.  T</w:t>
      </w:r>
      <w:r w:rsidRPr="00D86531">
        <w:rPr>
          <w:sz w:val="24"/>
          <w:szCs w:val="24"/>
        </w:rPr>
        <w:t xml:space="preserve">he facility is </w:t>
      </w:r>
      <w:r>
        <w:rPr>
          <w:sz w:val="24"/>
          <w:szCs w:val="24"/>
        </w:rPr>
        <w:t>only</w:t>
      </w:r>
      <w:r w:rsidRPr="00D86531">
        <w:rPr>
          <w:sz w:val="24"/>
          <w:szCs w:val="24"/>
        </w:rPr>
        <w:t xml:space="preserve"> required to comply </w:t>
      </w:r>
      <w:r>
        <w:rPr>
          <w:sz w:val="24"/>
          <w:szCs w:val="24"/>
        </w:rPr>
        <w:t>with an initial notification requirement promulgated by 40 CFR 63.9(b)</w:t>
      </w:r>
      <w:proofErr w:type="gramStart"/>
      <w:r>
        <w:rPr>
          <w:sz w:val="24"/>
          <w:szCs w:val="24"/>
        </w:rPr>
        <w:t>;</w:t>
      </w:r>
      <w:proofErr w:type="gramEnd"/>
      <w:r>
        <w:rPr>
          <w:sz w:val="24"/>
          <w:szCs w:val="24"/>
        </w:rPr>
        <w:t xml:space="preserve"> Subpart A via Subpart DDDD, which the facility has already fulfilled.</w:t>
      </w:r>
      <w:r w:rsidR="000A4A72">
        <w:rPr>
          <w:sz w:val="24"/>
          <w:szCs w:val="24"/>
        </w:rPr>
        <w:t xml:space="preserve">  </w:t>
      </w:r>
      <w:r>
        <w:rPr>
          <w:sz w:val="24"/>
          <w:szCs w:val="24"/>
        </w:rPr>
        <w:t>Therefore, the denoted</w:t>
      </w:r>
      <w:r w:rsidRPr="00D86531">
        <w:rPr>
          <w:sz w:val="24"/>
          <w:szCs w:val="24"/>
        </w:rPr>
        <w:t xml:space="preserve"> emission points are only subject to Subpart DDDD for applicability purposes.</w:t>
      </w:r>
    </w:p>
    <w:p w14:paraId="0FE077F5" w14:textId="6A359CA4" w:rsidR="000A4A72" w:rsidRDefault="000A4A72" w:rsidP="000A4A72">
      <w:pPr>
        <w:pStyle w:val="NoSpacing"/>
        <w:jc w:val="both"/>
        <w:rPr>
          <w:color w:val="4F81BD" w:themeColor="accent1"/>
          <w:sz w:val="24"/>
          <w:szCs w:val="24"/>
        </w:rPr>
      </w:pPr>
    </w:p>
    <w:p w14:paraId="1FF2324B" w14:textId="77777777" w:rsidR="000A4A72" w:rsidRPr="000A4A72" w:rsidRDefault="000A4A72" w:rsidP="000A4A72">
      <w:pPr>
        <w:jc w:val="both"/>
        <w:rPr>
          <w:b/>
          <w:bCs/>
          <w:sz w:val="24"/>
          <w:szCs w:val="24"/>
        </w:rPr>
      </w:pPr>
      <w:proofErr w:type="gramStart"/>
      <w:r w:rsidRPr="000A4A72">
        <w:rPr>
          <w:b/>
          <w:bCs/>
          <w:sz w:val="24"/>
          <w:szCs w:val="24"/>
        </w:rPr>
        <w:t>40</w:t>
      </w:r>
      <w:proofErr w:type="gramEnd"/>
      <w:r w:rsidRPr="000A4A72">
        <w:rPr>
          <w:b/>
          <w:bCs/>
          <w:sz w:val="24"/>
          <w:szCs w:val="24"/>
        </w:rPr>
        <w:t xml:space="preserve"> CFR Part 63, Subpart ZZZZ – National Emissions Standards for Hazardous Air Pollutants for Stationary Reciprocating Internal Combustion Engines</w:t>
      </w:r>
    </w:p>
    <w:p w14:paraId="298028CF" w14:textId="77777777" w:rsidR="000A4A72" w:rsidRPr="000A4A72" w:rsidRDefault="000A4A72" w:rsidP="000A4A72">
      <w:pPr>
        <w:jc w:val="center"/>
        <w:rPr>
          <w:b/>
          <w:bCs/>
          <w:sz w:val="24"/>
          <w:szCs w:val="24"/>
        </w:rPr>
      </w:pPr>
    </w:p>
    <w:p w14:paraId="25C72D20" w14:textId="4635F4D2" w:rsidR="000A4A72" w:rsidRPr="000A4A72" w:rsidRDefault="00144F67" w:rsidP="000A4A72">
      <w:pPr>
        <w:pStyle w:val="NoSpacing"/>
        <w:jc w:val="both"/>
        <w:rPr>
          <w:sz w:val="24"/>
          <w:szCs w:val="24"/>
        </w:rPr>
      </w:pPr>
      <w:proofErr w:type="spellStart"/>
      <w:r>
        <w:rPr>
          <w:bCs/>
          <w:sz w:val="24"/>
          <w:szCs w:val="24"/>
        </w:rPr>
        <w:t>B</w:t>
      </w:r>
      <w:r w:rsidR="002B70B9">
        <w:rPr>
          <w:bCs/>
          <w:sz w:val="24"/>
          <w:szCs w:val="24"/>
        </w:rPr>
        <w:t>iewer</w:t>
      </w:r>
      <w:proofErr w:type="spellEnd"/>
      <w:r w:rsidR="002B70B9">
        <w:rPr>
          <w:bCs/>
          <w:sz w:val="24"/>
          <w:szCs w:val="24"/>
        </w:rPr>
        <w:t xml:space="preserve"> operates one (1)</w:t>
      </w:r>
      <w:r w:rsidRPr="00144F67">
        <w:rPr>
          <w:bCs/>
          <w:sz w:val="24"/>
          <w:szCs w:val="24"/>
        </w:rPr>
        <w:t xml:space="preserve"> </w:t>
      </w:r>
      <w:r>
        <w:rPr>
          <w:bCs/>
          <w:sz w:val="24"/>
          <w:szCs w:val="24"/>
        </w:rPr>
        <w:t>natural gas</w:t>
      </w:r>
      <w:r w:rsidRPr="00144F67">
        <w:rPr>
          <w:bCs/>
          <w:sz w:val="24"/>
          <w:szCs w:val="24"/>
        </w:rPr>
        <w:t xml:space="preserve">-fired, </w:t>
      </w:r>
      <w:r>
        <w:rPr>
          <w:bCs/>
          <w:sz w:val="24"/>
          <w:szCs w:val="24"/>
        </w:rPr>
        <w:t>spark-ignition</w:t>
      </w:r>
      <w:r w:rsidRPr="00144F67">
        <w:rPr>
          <w:bCs/>
          <w:sz w:val="24"/>
          <w:szCs w:val="24"/>
        </w:rPr>
        <w:t xml:space="preserve"> reciproca</w:t>
      </w:r>
      <w:r>
        <w:rPr>
          <w:bCs/>
          <w:sz w:val="24"/>
          <w:szCs w:val="24"/>
        </w:rPr>
        <w:t>ting internal combustion engine</w:t>
      </w:r>
      <w:r w:rsidRPr="00144F67">
        <w:rPr>
          <w:bCs/>
          <w:sz w:val="24"/>
          <w:szCs w:val="24"/>
        </w:rPr>
        <w:t xml:space="preserve"> </w:t>
      </w:r>
      <w:r w:rsidR="002B70B9">
        <w:rPr>
          <w:bCs/>
          <w:sz w:val="24"/>
          <w:szCs w:val="24"/>
        </w:rPr>
        <w:t xml:space="preserve">[i.e. Emission Point AA-014] </w:t>
      </w:r>
      <w:r>
        <w:rPr>
          <w:bCs/>
          <w:sz w:val="24"/>
          <w:szCs w:val="24"/>
        </w:rPr>
        <w:t>that is</w:t>
      </w:r>
      <w:r w:rsidRPr="00144F67">
        <w:rPr>
          <w:bCs/>
          <w:sz w:val="24"/>
          <w:szCs w:val="24"/>
        </w:rPr>
        <w:t xml:space="preserve"> subject to this subpart.  However, each engine was manufactured after June 12, 2006 and is also subject to 40 CFR Part 60, Subpart </w:t>
      </w:r>
      <w:r>
        <w:rPr>
          <w:bCs/>
          <w:sz w:val="24"/>
          <w:szCs w:val="24"/>
        </w:rPr>
        <w:t>JJJJ</w:t>
      </w:r>
      <w:r w:rsidRPr="00144F67">
        <w:rPr>
          <w:bCs/>
          <w:sz w:val="24"/>
          <w:szCs w:val="24"/>
        </w:rPr>
        <w:t xml:space="preserve"> – </w:t>
      </w:r>
      <w:r w:rsidR="002B70B9" w:rsidRPr="002B70B9">
        <w:rPr>
          <w:bCs/>
          <w:sz w:val="24"/>
          <w:szCs w:val="24"/>
        </w:rPr>
        <w:t>Standards of Performance for Stationary Spark Ignition Internal Combustion Engines</w:t>
      </w:r>
      <w:r w:rsidRPr="00144F67">
        <w:rPr>
          <w:bCs/>
          <w:sz w:val="24"/>
          <w:szCs w:val="24"/>
        </w:rPr>
        <w:t xml:space="preserve"> (see “</w:t>
      </w:r>
      <w:r w:rsidRPr="00144F67">
        <w:rPr>
          <w:bCs/>
          <w:i/>
          <w:iCs/>
          <w:sz w:val="24"/>
          <w:szCs w:val="24"/>
        </w:rPr>
        <w:t xml:space="preserve">40 CFR Part 60 – Subpart </w:t>
      </w:r>
      <w:r w:rsidR="002B70B9">
        <w:rPr>
          <w:bCs/>
          <w:i/>
          <w:iCs/>
          <w:sz w:val="24"/>
          <w:szCs w:val="24"/>
        </w:rPr>
        <w:t>JJJJ</w:t>
      </w:r>
      <w:r w:rsidRPr="00144F67">
        <w:rPr>
          <w:bCs/>
          <w:sz w:val="24"/>
          <w:szCs w:val="24"/>
        </w:rPr>
        <w:t>” applicability section).</w:t>
      </w:r>
      <w:r w:rsidR="000A4A72" w:rsidRPr="000A4A72">
        <w:rPr>
          <w:color w:val="000000"/>
          <w:sz w:val="24"/>
          <w:szCs w:val="24"/>
        </w:rPr>
        <w:t>.</w:t>
      </w:r>
    </w:p>
    <w:p w14:paraId="3B3C2A4A" w14:textId="77777777" w:rsidR="00AE4F70" w:rsidRDefault="00AE4F70" w:rsidP="00104CE2">
      <w:pPr>
        <w:jc w:val="both"/>
        <w:rPr>
          <w:sz w:val="24"/>
          <w:szCs w:val="24"/>
        </w:rPr>
      </w:pPr>
    </w:p>
    <w:p w14:paraId="3B3C2A4B" w14:textId="77777777" w:rsidR="00AE4F70" w:rsidRDefault="00AE4F70" w:rsidP="00104CE2">
      <w:pPr>
        <w:jc w:val="both"/>
        <w:rPr>
          <w:sz w:val="24"/>
          <w:szCs w:val="24"/>
          <w:u w:val="single"/>
        </w:rPr>
      </w:pPr>
      <w:r>
        <w:rPr>
          <w:sz w:val="24"/>
          <w:szCs w:val="24"/>
          <w:u w:val="single"/>
        </w:rPr>
        <w:t>NEW SOURCE PERFORMANCE STANDARDS (NSPS) APPLICABILITY</w:t>
      </w:r>
    </w:p>
    <w:p w14:paraId="657EB78C" w14:textId="77777777" w:rsidR="002B70B9" w:rsidRPr="002B70B9" w:rsidRDefault="002B70B9" w:rsidP="002B70B9">
      <w:pPr>
        <w:rPr>
          <w:b/>
          <w:bCs/>
          <w:sz w:val="24"/>
          <w:szCs w:val="24"/>
        </w:rPr>
      </w:pPr>
      <w:proofErr w:type="gramStart"/>
      <w:r w:rsidRPr="002B70B9">
        <w:rPr>
          <w:b/>
          <w:bCs/>
          <w:sz w:val="24"/>
          <w:szCs w:val="24"/>
        </w:rPr>
        <w:t>40</w:t>
      </w:r>
      <w:proofErr w:type="gramEnd"/>
      <w:r w:rsidRPr="002B70B9">
        <w:rPr>
          <w:b/>
          <w:bCs/>
          <w:sz w:val="24"/>
          <w:szCs w:val="24"/>
        </w:rPr>
        <w:t xml:space="preserve"> CFR Part 60, Subpart JJJJ – Standards of Performance for Stationary Spark Ignition Internal Combustion Engines</w:t>
      </w:r>
    </w:p>
    <w:p w14:paraId="49545DDC" w14:textId="77777777" w:rsidR="002B70B9" w:rsidRPr="002B70B9" w:rsidRDefault="002B70B9" w:rsidP="002B70B9">
      <w:pPr>
        <w:rPr>
          <w:b/>
          <w:bCs/>
          <w:sz w:val="24"/>
          <w:szCs w:val="24"/>
        </w:rPr>
      </w:pPr>
    </w:p>
    <w:p w14:paraId="44A19F42" w14:textId="5AA79825" w:rsidR="002B70B9" w:rsidRPr="002B70B9" w:rsidRDefault="002B70B9" w:rsidP="002B70B9">
      <w:pPr>
        <w:jc w:val="both"/>
        <w:rPr>
          <w:sz w:val="24"/>
          <w:szCs w:val="24"/>
        </w:rPr>
      </w:pPr>
      <w:r>
        <w:rPr>
          <w:sz w:val="24"/>
          <w:szCs w:val="24"/>
        </w:rPr>
        <w:t xml:space="preserve">As previously stated, </w:t>
      </w:r>
      <w:proofErr w:type="spellStart"/>
      <w:r>
        <w:rPr>
          <w:sz w:val="24"/>
          <w:szCs w:val="24"/>
        </w:rPr>
        <w:t>Biewer</w:t>
      </w:r>
      <w:proofErr w:type="spellEnd"/>
      <w:r>
        <w:rPr>
          <w:sz w:val="24"/>
          <w:szCs w:val="24"/>
        </w:rPr>
        <w:t xml:space="preserve"> operates</w:t>
      </w:r>
      <w:r w:rsidRPr="002B70B9">
        <w:rPr>
          <w:sz w:val="24"/>
          <w:szCs w:val="24"/>
        </w:rPr>
        <w:t xml:space="preserve"> </w:t>
      </w:r>
      <w:r>
        <w:rPr>
          <w:sz w:val="24"/>
          <w:szCs w:val="24"/>
        </w:rPr>
        <w:t xml:space="preserve">one (1) </w:t>
      </w:r>
      <w:r w:rsidRPr="002B70B9">
        <w:rPr>
          <w:sz w:val="24"/>
          <w:szCs w:val="24"/>
        </w:rPr>
        <w:t>natural gas-fired stationary spark-ignition inter</w:t>
      </w:r>
      <w:r>
        <w:rPr>
          <w:sz w:val="24"/>
          <w:szCs w:val="24"/>
        </w:rPr>
        <w:t>nal combustion emergency engine that was</w:t>
      </w:r>
      <w:r w:rsidRPr="002B70B9">
        <w:rPr>
          <w:sz w:val="24"/>
          <w:szCs w:val="24"/>
        </w:rPr>
        <w:t xml:space="preserve"> constructed after the applicable date of June 12, 2006 [i.e. </w:t>
      </w:r>
      <w:r w:rsidRPr="002B70B9">
        <w:rPr>
          <w:bCs/>
          <w:sz w:val="24"/>
          <w:szCs w:val="24"/>
        </w:rPr>
        <w:t>Emission Point AA-014</w:t>
      </w:r>
      <w:r w:rsidRPr="002B70B9">
        <w:rPr>
          <w:sz w:val="24"/>
          <w:szCs w:val="24"/>
        </w:rPr>
        <w:t>].  Therefore, the denoted engi</w:t>
      </w:r>
      <w:r>
        <w:rPr>
          <w:sz w:val="24"/>
          <w:szCs w:val="24"/>
        </w:rPr>
        <w:t xml:space="preserve">ne is </w:t>
      </w:r>
      <w:r w:rsidRPr="002B70B9">
        <w:rPr>
          <w:sz w:val="24"/>
          <w:szCs w:val="24"/>
        </w:rPr>
        <w:t xml:space="preserve">subject to applicable requirements found in Subpart JJJJ.  More specifically, these engines must comply with certain emission standards for </w:t>
      </w:r>
      <w:r>
        <w:rPr>
          <w:bCs/>
          <w:sz w:val="24"/>
          <w:szCs w:val="24"/>
        </w:rPr>
        <w:t>n</w:t>
      </w:r>
      <w:r w:rsidRPr="002B70B9">
        <w:rPr>
          <w:bCs/>
          <w:sz w:val="24"/>
          <w:szCs w:val="24"/>
        </w:rPr>
        <w:t xml:space="preserve">itrogen </w:t>
      </w:r>
      <w:r>
        <w:rPr>
          <w:bCs/>
          <w:sz w:val="24"/>
          <w:szCs w:val="24"/>
        </w:rPr>
        <w:t>o</w:t>
      </w:r>
      <w:r w:rsidRPr="002B70B9">
        <w:rPr>
          <w:bCs/>
          <w:sz w:val="24"/>
          <w:szCs w:val="24"/>
        </w:rPr>
        <w:t xml:space="preserve">xides + </w:t>
      </w:r>
      <w:r>
        <w:rPr>
          <w:bCs/>
          <w:sz w:val="24"/>
          <w:szCs w:val="24"/>
        </w:rPr>
        <w:t>h</w:t>
      </w:r>
      <w:r w:rsidRPr="002B70B9">
        <w:rPr>
          <w:bCs/>
          <w:sz w:val="24"/>
          <w:szCs w:val="24"/>
        </w:rPr>
        <w:t>ydrocarbons (NO</w:t>
      </w:r>
      <w:r w:rsidRPr="002B70B9">
        <w:rPr>
          <w:bCs/>
          <w:sz w:val="24"/>
          <w:szCs w:val="24"/>
          <w:vertAlign w:val="subscript"/>
        </w:rPr>
        <w:t>X</w:t>
      </w:r>
      <w:r w:rsidRPr="002B70B9">
        <w:rPr>
          <w:bCs/>
          <w:sz w:val="24"/>
          <w:szCs w:val="24"/>
        </w:rPr>
        <w:t xml:space="preserve"> + HC)</w:t>
      </w:r>
      <w:r>
        <w:rPr>
          <w:sz w:val="24"/>
          <w:szCs w:val="24"/>
        </w:rPr>
        <w:t xml:space="preserve"> and carbon monoxide (</w:t>
      </w:r>
      <w:r w:rsidRPr="002B70B9">
        <w:rPr>
          <w:sz w:val="24"/>
          <w:szCs w:val="24"/>
        </w:rPr>
        <w:t>CO</w:t>
      </w:r>
      <w:r>
        <w:rPr>
          <w:sz w:val="24"/>
          <w:szCs w:val="24"/>
        </w:rPr>
        <w:t>)</w:t>
      </w:r>
      <w:r w:rsidRPr="002B70B9">
        <w:rPr>
          <w:sz w:val="24"/>
          <w:szCs w:val="24"/>
        </w:rPr>
        <w:t>.</w:t>
      </w:r>
    </w:p>
    <w:p w14:paraId="076774C2" w14:textId="77777777" w:rsidR="002B70B9" w:rsidRPr="002B70B9" w:rsidRDefault="002B70B9" w:rsidP="002B70B9">
      <w:pPr>
        <w:rPr>
          <w:sz w:val="24"/>
          <w:szCs w:val="24"/>
        </w:rPr>
      </w:pPr>
    </w:p>
    <w:p w14:paraId="3B3C2A4C" w14:textId="32FBA41C" w:rsidR="00AE4F70" w:rsidRPr="006F0510" w:rsidRDefault="002B70B9" w:rsidP="002B70B9">
      <w:pPr>
        <w:jc w:val="both"/>
        <w:rPr>
          <w:color w:val="4F81BD" w:themeColor="accent1"/>
          <w:sz w:val="24"/>
          <w:szCs w:val="24"/>
        </w:rPr>
      </w:pPr>
      <w:r w:rsidRPr="002B70B9">
        <w:rPr>
          <w:sz w:val="24"/>
          <w:szCs w:val="24"/>
        </w:rPr>
        <w:t xml:space="preserve">By complying with the applicable requirements of this subpart, </w:t>
      </w:r>
      <w:proofErr w:type="spellStart"/>
      <w:r w:rsidR="005E510E">
        <w:rPr>
          <w:sz w:val="24"/>
          <w:szCs w:val="24"/>
        </w:rPr>
        <w:t>Biewer</w:t>
      </w:r>
      <w:proofErr w:type="spellEnd"/>
      <w:r w:rsidRPr="002B70B9">
        <w:rPr>
          <w:sz w:val="24"/>
          <w:szCs w:val="24"/>
        </w:rPr>
        <w:t xml:space="preserve"> is also demonstrating compliance with 40 CFR Part 63, Subpart ZZZZ.</w:t>
      </w:r>
    </w:p>
    <w:p w14:paraId="3B3C2A4D" w14:textId="50AA299E" w:rsidR="00AB6090" w:rsidRDefault="00AB6090" w:rsidP="00104CE2">
      <w:pPr>
        <w:jc w:val="both"/>
        <w:rPr>
          <w:sz w:val="24"/>
          <w:szCs w:val="24"/>
          <w:u w:val="single"/>
        </w:rPr>
      </w:pPr>
    </w:p>
    <w:p w14:paraId="2B0B784D" w14:textId="77777777" w:rsidR="0025062C" w:rsidRDefault="0025062C" w:rsidP="00104CE2">
      <w:pPr>
        <w:jc w:val="both"/>
        <w:rPr>
          <w:sz w:val="24"/>
          <w:szCs w:val="24"/>
          <w:u w:val="single"/>
        </w:rPr>
      </w:pPr>
    </w:p>
    <w:p w14:paraId="4B56B70D" w14:textId="77777777" w:rsidR="00DC25E9" w:rsidRDefault="00DC25E9">
      <w:pPr>
        <w:autoSpaceDE/>
        <w:autoSpaceDN/>
        <w:spacing w:after="200" w:line="276" w:lineRule="auto"/>
        <w:rPr>
          <w:sz w:val="24"/>
          <w:szCs w:val="24"/>
          <w:u w:val="single"/>
        </w:rPr>
      </w:pPr>
      <w:r>
        <w:rPr>
          <w:sz w:val="24"/>
          <w:szCs w:val="24"/>
          <w:u w:val="single"/>
        </w:rPr>
        <w:br w:type="page"/>
      </w:r>
    </w:p>
    <w:p w14:paraId="3B3C2A4F" w14:textId="1720407D" w:rsidR="00531513" w:rsidRPr="005E510E" w:rsidRDefault="00531513" w:rsidP="00104CE2">
      <w:pPr>
        <w:jc w:val="both"/>
        <w:rPr>
          <w:sz w:val="24"/>
          <w:szCs w:val="24"/>
          <w:u w:val="single"/>
        </w:rPr>
      </w:pPr>
      <w:r>
        <w:rPr>
          <w:sz w:val="24"/>
          <w:szCs w:val="24"/>
          <w:u w:val="single"/>
        </w:rPr>
        <w:lastRenderedPageBreak/>
        <w:t>SPECIFIC APPLICABLE REQUIREMENTS</w:t>
      </w:r>
      <w:r w:rsidR="00AB6090" w:rsidRPr="006F0510">
        <w:rPr>
          <w:color w:val="4F81BD" w:themeColor="accent1"/>
          <w:sz w:val="24"/>
          <w:szCs w:val="24"/>
        </w:rPr>
        <w:t xml:space="preserve">  </w:t>
      </w:r>
    </w:p>
    <w:p w14:paraId="3B3C2A50" w14:textId="3144B527" w:rsidR="00531513" w:rsidRDefault="00531513" w:rsidP="00531513">
      <w:pPr>
        <w:rPr>
          <w:sz w:val="24"/>
          <w:szCs w:val="24"/>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1520"/>
        <w:gridCol w:w="2610"/>
        <w:gridCol w:w="2340"/>
        <w:gridCol w:w="3150"/>
      </w:tblGrid>
      <w:tr w:rsidR="005E510E" w:rsidRPr="00431D11" w14:paraId="1867B24E" w14:textId="77777777" w:rsidTr="007253AC">
        <w:trPr>
          <w:trHeight w:val="800"/>
          <w:jc w:val="center"/>
        </w:trPr>
        <w:tc>
          <w:tcPr>
            <w:tcW w:w="995" w:type="dxa"/>
            <w:tcBorders>
              <w:top w:val="single" w:sz="4" w:space="0" w:color="auto"/>
              <w:bottom w:val="single" w:sz="4" w:space="0" w:color="auto"/>
            </w:tcBorders>
            <w:shd w:val="clear" w:color="auto" w:fill="D9D9D9" w:themeFill="background1" w:themeFillShade="D9"/>
            <w:vAlign w:val="center"/>
          </w:tcPr>
          <w:p w14:paraId="1608F5C3" w14:textId="4F794673" w:rsidR="005E510E" w:rsidRPr="00431D11" w:rsidRDefault="005E510E" w:rsidP="007253AC">
            <w:pPr>
              <w:jc w:val="center"/>
              <w:rPr>
                <w:b/>
                <w:bCs/>
              </w:rPr>
            </w:pPr>
            <w:r>
              <w:br w:type="page"/>
            </w:r>
            <w:r w:rsidRPr="00431D11">
              <w:rPr>
                <w:b/>
                <w:bCs/>
              </w:rPr>
              <w:t xml:space="preserve">Emission </w:t>
            </w:r>
          </w:p>
          <w:p w14:paraId="70C8F7E1" w14:textId="77777777" w:rsidR="005E510E" w:rsidRDefault="005E510E" w:rsidP="007253AC">
            <w:pPr>
              <w:pStyle w:val="NoSpacing"/>
              <w:jc w:val="center"/>
            </w:pPr>
            <w:r w:rsidRPr="00431D11">
              <w:rPr>
                <w:b/>
                <w:bCs/>
              </w:rPr>
              <w:t>Point</w:t>
            </w:r>
            <w:r>
              <w:rPr>
                <w:b/>
                <w:bCs/>
              </w:rPr>
              <w:t>(s)</w:t>
            </w:r>
          </w:p>
        </w:tc>
        <w:tc>
          <w:tcPr>
            <w:tcW w:w="1520" w:type="dxa"/>
            <w:tcBorders>
              <w:top w:val="single" w:sz="4" w:space="0" w:color="auto"/>
            </w:tcBorders>
            <w:shd w:val="clear" w:color="auto" w:fill="D9D9D9" w:themeFill="background1" w:themeFillShade="D9"/>
            <w:vAlign w:val="center"/>
          </w:tcPr>
          <w:p w14:paraId="68DA5BDC" w14:textId="77777777" w:rsidR="005E510E" w:rsidRPr="00431D11" w:rsidRDefault="005E510E" w:rsidP="007253AC">
            <w:pPr>
              <w:widowControl w:val="0"/>
              <w:jc w:val="center"/>
              <w:rPr>
                <w:b/>
              </w:rPr>
            </w:pPr>
            <w:r w:rsidRPr="00431D11">
              <w:rPr>
                <w:b/>
              </w:rPr>
              <w:t>Pollutant(s) /</w:t>
            </w:r>
          </w:p>
          <w:p w14:paraId="1C030122" w14:textId="77777777" w:rsidR="005E510E" w:rsidRDefault="005E510E" w:rsidP="007253AC">
            <w:pPr>
              <w:pStyle w:val="NoSpacing"/>
              <w:jc w:val="center"/>
            </w:pPr>
            <w:r w:rsidRPr="00431D11">
              <w:rPr>
                <w:b/>
              </w:rPr>
              <w:t>Parameter(s)</w:t>
            </w:r>
          </w:p>
        </w:tc>
        <w:tc>
          <w:tcPr>
            <w:tcW w:w="2610" w:type="dxa"/>
            <w:tcBorders>
              <w:top w:val="single" w:sz="4" w:space="0" w:color="auto"/>
            </w:tcBorders>
            <w:shd w:val="clear" w:color="auto" w:fill="D9D9D9" w:themeFill="background1" w:themeFillShade="D9"/>
            <w:vAlign w:val="center"/>
          </w:tcPr>
          <w:p w14:paraId="3A4F32A5" w14:textId="77777777" w:rsidR="005E510E" w:rsidRPr="00E55C2F" w:rsidRDefault="005E510E" w:rsidP="007253AC">
            <w:pPr>
              <w:pStyle w:val="NoSpacing"/>
              <w:jc w:val="center"/>
            </w:pPr>
            <w:r w:rsidRPr="00431D11">
              <w:rPr>
                <w:b/>
                <w:bCs/>
              </w:rPr>
              <w:t>Applicable Requirement(s)</w:t>
            </w:r>
          </w:p>
        </w:tc>
        <w:tc>
          <w:tcPr>
            <w:tcW w:w="2340" w:type="dxa"/>
            <w:tcBorders>
              <w:top w:val="single" w:sz="4" w:space="0" w:color="auto"/>
            </w:tcBorders>
            <w:shd w:val="clear" w:color="auto" w:fill="D9D9D9" w:themeFill="background1" w:themeFillShade="D9"/>
            <w:vAlign w:val="center"/>
          </w:tcPr>
          <w:p w14:paraId="0B56ADC0" w14:textId="77777777" w:rsidR="005E510E" w:rsidRDefault="005E510E" w:rsidP="007253AC">
            <w:pPr>
              <w:pStyle w:val="NoSpacing"/>
              <w:jc w:val="center"/>
            </w:pPr>
            <w:r w:rsidRPr="00431D11">
              <w:rPr>
                <w:b/>
                <w:bCs/>
              </w:rPr>
              <w:t>Limitation(s) / Standard(s)</w:t>
            </w:r>
          </w:p>
        </w:tc>
        <w:tc>
          <w:tcPr>
            <w:tcW w:w="3150" w:type="dxa"/>
            <w:tcBorders>
              <w:top w:val="single" w:sz="4" w:space="0" w:color="auto"/>
              <w:right w:val="single" w:sz="4" w:space="0" w:color="auto"/>
            </w:tcBorders>
            <w:shd w:val="clear" w:color="auto" w:fill="D9D9D9" w:themeFill="background1" w:themeFillShade="D9"/>
            <w:vAlign w:val="center"/>
          </w:tcPr>
          <w:p w14:paraId="17544F02" w14:textId="77777777" w:rsidR="005E510E" w:rsidRPr="00B4421D" w:rsidRDefault="005E510E" w:rsidP="007253AC">
            <w:pPr>
              <w:pStyle w:val="NoSpacing"/>
              <w:jc w:val="center"/>
            </w:pPr>
            <w:r w:rsidRPr="00431D11">
              <w:rPr>
                <w:b/>
                <w:bCs/>
              </w:rPr>
              <w:t>Monitoring Requirement(s)</w:t>
            </w:r>
          </w:p>
        </w:tc>
      </w:tr>
      <w:tr w:rsidR="005E510E" w:rsidRPr="00431D11" w14:paraId="3B2F928E" w14:textId="77777777" w:rsidTr="005E510E">
        <w:trPr>
          <w:trHeight w:val="1772"/>
          <w:jc w:val="center"/>
        </w:trPr>
        <w:tc>
          <w:tcPr>
            <w:tcW w:w="995" w:type="dxa"/>
            <w:shd w:val="clear" w:color="auto" w:fill="auto"/>
            <w:vAlign w:val="center"/>
          </w:tcPr>
          <w:p w14:paraId="5D30251D" w14:textId="77777777" w:rsidR="005E510E" w:rsidRDefault="005E510E" w:rsidP="007253AC">
            <w:pPr>
              <w:pStyle w:val="NoSpacing"/>
              <w:jc w:val="center"/>
            </w:pPr>
            <w:r>
              <w:t>AA-100</w:t>
            </w:r>
          </w:p>
        </w:tc>
        <w:tc>
          <w:tcPr>
            <w:tcW w:w="1520" w:type="dxa"/>
            <w:shd w:val="clear" w:color="auto" w:fill="auto"/>
            <w:vAlign w:val="center"/>
          </w:tcPr>
          <w:p w14:paraId="1B0CAE04" w14:textId="77777777" w:rsidR="005E510E" w:rsidRPr="00F8257F" w:rsidRDefault="005E510E" w:rsidP="007253AC">
            <w:pPr>
              <w:pStyle w:val="NoSpacing"/>
              <w:jc w:val="center"/>
            </w:pPr>
            <w:r>
              <w:t>Opacity</w:t>
            </w:r>
          </w:p>
        </w:tc>
        <w:tc>
          <w:tcPr>
            <w:tcW w:w="2610" w:type="dxa"/>
            <w:shd w:val="clear" w:color="auto" w:fill="auto"/>
            <w:vAlign w:val="center"/>
          </w:tcPr>
          <w:p w14:paraId="507C992F" w14:textId="77777777" w:rsidR="005E510E" w:rsidRPr="00E55C2F" w:rsidRDefault="005E510E" w:rsidP="007253AC">
            <w:pPr>
              <w:pStyle w:val="NoSpacing"/>
              <w:jc w:val="center"/>
            </w:pPr>
            <w:r w:rsidRPr="00E55C2F">
              <w:t>11 Miss. Admin. Code Pt. 2, R. 1.3.A.</w:t>
            </w:r>
          </w:p>
          <w:p w14:paraId="570D6FB9" w14:textId="77777777" w:rsidR="005E510E" w:rsidRPr="00E55C2F" w:rsidRDefault="005E510E" w:rsidP="007253AC">
            <w:pPr>
              <w:pStyle w:val="NoSpacing"/>
              <w:jc w:val="center"/>
              <w:rPr>
                <w:sz w:val="10"/>
                <w:szCs w:val="10"/>
              </w:rPr>
            </w:pPr>
          </w:p>
          <w:p w14:paraId="3983E945" w14:textId="77777777" w:rsidR="005E510E" w:rsidRPr="00F8257F" w:rsidRDefault="005E510E" w:rsidP="007253AC">
            <w:pPr>
              <w:pStyle w:val="NoSpacing"/>
              <w:jc w:val="center"/>
            </w:pPr>
            <w:r w:rsidRPr="00E55C2F">
              <w:t>11 Miss. Admin. Code Pt. 2, R. 1.3.B.</w:t>
            </w:r>
          </w:p>
        </w:tc>
        <w:tc>
          <w:tcPr>
            <w:tcW w:w="2340" w:type="dxa"/>
            <w:shd w:val="clear" w:color="auto" w:fill="auto"/>
            <w:vAlign w:val="center"/>
          </w:tcPr>
          <w:p w14:paraId="1498C679" w14:textId="77777777" w:rsidR="005E510E" w:rsidRPr="00F8257F" w:rsidRDefault="005E510E" w:rsidP="007253AC">
            <w:pPr>
              <w:pStyle w:val="NoSpacing"/>
              <w:jc w:val="center"/>
            </w:pPr>
            <w:r>
              <w:t>≤ 40%</w:t>
            </w:r>
          </w:p>
        </w:tc>
        <w:tc>
          <w:tcPr>
            <w:tcW w:w="3150" w:type="dxa"/>
            <w:shd w:val="clear" w:color="auto" w:fill="auto"/>
            <w:vAlign w:val="center"/>
          </w:tcPr>
          <w:p w14:paraId="4402D198" w14:textId="737D739A" w:rsidR="005E510E" w:rsidRDefault="005E510E" w:rsidP="005E510E">
            <w:pPr>
              <w:pStyle w:val="NoSpacing"/>
              <w:jc w:val="center"/>
            </w:pPr>
            <w:r w:rsidRPr="00B4421D">
              <w:t xml:space="preserve">The facility shall </w:t>
            </w:r>
            <w:r>
              <w:t xml:space="preserve">demonstrate compliance with the </w:t>
            </w:r>
            <w:r w:rsidRPr="00B4421D">
              <w:t xml:space="preserve">opacity </w:t>
            </w:r>
            <w:r>
              <w:t xml:space="preserve">standard </w:t>
            </w:r>
            <w:r w:rsidRPr="00B4421D">
              <w:t xml:space="preserve">by performing and recording </w:t>
            </w:r>
            <w:r>
              <w:t xml:space="preserve">routine </w:t>
            </w:r>
            <w:r w:rsidRPr="00B4421D">
              <w:t xml:space="preserve">visible emission observations </w:t>
            </w:r>
            <w:r>
              <w:t xml:space="preserve">from the emission sources that can significantly </w:t>
            </w:r>
            <w:proofErr w:type="gramStart"/>
            <w:r>
              <w:t>impact</w:t>
            </w:r>
            <w:proofErr w:type="gramEnd"/>
            <w:r>
              <w:t xml:space="preserve"> opacity</w:t>
            </w:r>
            <w:r w:rsidRPr="00B4421D">
              <w:t>.</w:t>
            </w:r>
          </w:p>
        </w:tc>
      </w:tr>
      <w:tr w:rsidR="007253AC" w:rsidRPr="00431D11" w14:paraId="48E68DFD" w14:textId="77777777" w:rsidTr="00297DEB">
        <w:trPr>
          <w:trHeight w:val="1160"/>
          <w:jc w:val="center"/>
        </w:trPr>
        <w:tc>
          <w:tcPr>
            <w:tcW w:w="995" w:type="dxa"/>
            <w:vMerge w:val="restart"/>
            <w:shd w:val="clear" w:color="auto" w:fill="auto"/>
            <w:vAlign w:val="center"/>
          </w:tcPr>
          <w:p w14:paraId="04F8ABF5" w14:textId="77777777" w:rsidR="007253AC" w:rsidRPr="005E510E" w:rsidRDefault="007253AC" w:rsidP="005E510E">
            <w:pPr>
              <w:widowControl w:val="0"/>
              <w:jc w:val="center"/>
              <w:rPr>
                <w:bCs/>
              </w:rPr>
            </w:pPr>
            <w:r w:rsidRPr="005E510E">
              <w:rPr>
                <w:bCs/>
              </w:rPr>
              <w:t>AA-001</w:t>
            </w:r>
          </w:p>
          <w:p w14:paraId="52E97B2B" w14:textId="77777777" w:rsidR="007253AC" w:rsidRPr="005E510E" w:rsidRDefault="007253AC" w:rsidP="005E510E">
            <w:pPr>
              <w:widowControl w:val="0"/>
              <w:jc w:val="center"/>
              <w:rPr>
                <w:bCs/>
              </w:rPr>
            </w:pPr>
            <w:r w:rsidRPr="005E510E">
              <w:rPr>
                <w:bCs/>
              </w:rPr>
              <w:t>AA-002</w:t>
            </w:r>
          </w:p>
          <w:p w14:paraId="6226FE0E" w14:textId="77777777" w:rsidR="007253AC" w:rsidRPr="005E510E" w:rsidRDefault="007253AC" w:rsidP="005E510E">
            <w:pPr>
              <w:widowControl w:val="0"/>
              <w:jc w:val="center"/>
              <w:rPr>
                <w:bCs/>
              </w:rPr>
            </w:pPr>
            <w:r w:rsidRPr="005E510E">
              <w:rPr>
                <w:bCs/>
              </w:rPr>
              <w:t>AA-003</w:t>
            </w:r>
          </w:p>
          <w:p w14:paraId="2214D37C" w14:textId="58B78751" w:rsidR="007253AC" w:rsidRDefault="007253AC" w:rsidP="007253AC">
            <w:pPr>
              <w:widowControl w:val="0"/>
              <w:jc w:val="center"/>
              <w:rPr>
                <w:bCs/>
              </w:rPr>
            </w:pPr>
            <w:r w:rsidRPr="005E510E">
              <w:rPr>
                <w:bCs/>
              </w:rPr>
              <w:t>AA-015</w:t>
            </w:r>
          </w:p>
        </w:tc>
        <w:tc>
          <w:tcPr>
            <w:tcW w:w="1520" w:type="dxa"/>
            <w:shd w:val="clear" w:color="auto" w:fill="auto"/>
            <w:vAlign w:val="center"/>
          </w:tcPr>
          <w:p w14:paraId="72CA6E8F" w14:textId="77777777" w:rsidR="007253AC" w:rsidRPr="005E510E" w:rsidRDefault="007253AC" w:rsidP="005E510E">
            <w:pPr>
              <w:jc w:val="center"/>
            </w:pPr>
            <w:r w:rsidRPr="005E510E">
              <w:t>PM</w:t>
            </w:r>
          </w:p>
          <w:p w14:paraId="1402119E" w14:textId="5B005431" w:rsidR="007253AC" w:rsidRDefault="007253AC" w:rsidP="005E510E">
            <w:pPr>
              <w:jc w:val="center"/>
            </w:pPr>
            <w:r w:rsidRPr="005E510E">
              <w:t>(filterable only)</w:t>
            </w:r>
          </w:p>
        </w:tc>
        <w:tc>
          <w:tcPr>
            <w:tcW w:w="2610" w:type="dxa"/>
            <w:shd w:val="clear" w:color="auto" w:fill="auto"/>
            <w:vAlign w:val="center"/>
          </w:tcPr>
          <w:p w14:paraId="2E6A9E82" w14:textId="397A442D" w:rsidR="007253AC" w:rsidRPr="00490911" w:rsidRDefault="007253AC" w:rsidP="007253AC">
            <w:pPr>
              <w:jc w:val="center"/>
              <w:rPr>
                <w:bCs/>
              </w:rPr>
            </w:pPr>
            <w:r w:rsidRPr="005E510E">
              <w:rPr>
                <w:bCs/>
              </w:rPr>
              <w:t xml:space="preserve">11 Miss. Admin. Code Pt. 2, R. </w:t>
            </w:r>
            <w:proofErr w:type="gramStart"/>
            <w:r w:rsidRPr="005E510E">
              <w:rPr>
                <w:bCs/>
              </w:rPr>
              <w:t>1.3.D(</w:t>
            </w:r>
            <w:proofErr w:type="gramEnd"/>
            <w:r w:rsidRPr="005E510E">
              <w:rPr>
                <w:bCs/>
              </w:rPr>
              <w:t>1)(b).</w:t>
            </w:r>
          </w:p>
        </w:tc>
        <w:tc>
          <w:tcPr>
            <w:tcW w:w="2340" w:type="dxa"/>
            <w:shd w:val="clear" w:color="auto" w:fill="auto"/>
            <w:vAlign w:val="center"/>
          </w:tcPr>
          <w:p w14:paraId="4B4FBF56" w14:textId="49D397DA" w:rsidR="007253AC" w:rsidRPr="00490911" w:rsidRDefault="007253AC" w:rsidP="007253AC">
            <w:pPr>
              <w:widowControl w:val="0"/>
              <w:jc w:val="center"/>
              <w:rPr>
                <w:bCs/>
              </w:rPr>
            </w:pPr>
            <m:oMathPara>
              <m:oMath>
                <m:r>
                  <w:rPr>
                    <w:rFonts w:ascii="Cambria Math" w:hAnsi="Cambria Math"/>
                  </w:rPr>
                  <m:t>E=0.8808 (</m:t>
                </m:r>
                <m:sSup>
                  <m:sSupPr>
                    <m:ctrlPr>
                      <w:rPr>
                        <w:rFonts w:ascii="Cambria Math" w:hAnsi="Cambria Math"/>
                        <w:bCs/>
                        <w:i/>
                      </w:rPr>
                    </m:ctrlPr>
                  </m:sSupPr>
                  <m:e>
                    <m:r>
                      <w:rPr>
                        <w:rFonts w:ascii="Cambria Math" w:hAnsi="Cambria Math"/>
                      </w:rPr>
                      <m:t>I</m:t>
                    </m:r>
                  </m:e>
                  <m:sup>
                    <m:r>
                      <w:rPr>
                        <w:rFonts w:ascii="Cambria Math" w:hAnsi="Cambria Math"/>
                      </w:rPr>
                      <m:t>-0.1667</m:t>
                    </m:r>
                  </m:sup>
                </m:sSup>
                <m:r>
                  <w:rPr>
                    <w:rFonts w:ascii="Cambria Math" w:hAnsi="Cambria Math"/>
                    <w:vertAlign w:val="superscript"/>
                  </w:rPr>
                  <m:t>)</m:t>
                </m:r>
              </m:oMath>
            </m:oMathPara>
          </w:p>
        </w:tc>
        <w:tc>
          <w:tcPr>
            <w:tcW w:w="3150" w:type="dxa"/>
            <w:shd w:val="clear" w:color="auto" w:fill="auto"/>
            <w:vAlign w:val="center"/>
          </w:tcPr>
          <w:p w14:paraId="4D6C257A" w14:textId="6AFF5B1A" w:rsidR="007253AC" w:rsidRDefault="007253AC" w:rsidP="00297DEB">
            <w:pPr>
              <w:jc w:val="center"/>
              <w:rPr>
                <w:bCs/>
              </w:rPr>
            </w:pPr>
            <w:r w:rsidRPr="00297DEB">
              <w:rPr>
                <w:bCs/>
              </w:rPr>
              <w:t xml:space="preserve">Given that these </w:t>
            </w:r>
            <w:r>
              <w:rPr>
                <w:bCs/>
              </w:rPr>
              <w:t xml:space="preserve">units combust </w:t>
            </w:r>
            <w:r w:rsidRPr="00297DEB">
              <w:rPr>
                <w:bCs/>
              </w:rPr>
              <w:t>pipeline-grade natural gas, the margin of compliance for this standard should be significant.</w:t>
            </w:r>
          </w:p>
        </w:tc>
      </w:tr>
      <w:tr w:rsidR="007253AC" w:rsidRPr="00431D11" w14:paraId="19699055" w14:textId="77777777" w:rsidTr="008638FC">
        <w:trPr>
          <w:trHeight w:val="1430"/>
          <w:jc w:val="center"/>
        </w:trPr>
        <w:tc>
          <w:tcPr>
            <w:tcW w:w="995" w:type="dxa"/>
            <w:vMerge/>
            <w:shd w:val="clear" w:color="auto" w:fill="auto"/>
            <w:vAlign w:val="center"/>
          </w:tcPr>
          <w:p w14:paraId="35188687" w14:textId="70DC64D2" w:rsidR="007253AC" w:rsidRPr="00431D11" w:rsidRDefault="007253AC" w:rsidP="007253AC">
            <w:pPr>
              <w:widowControl w:val="0"/>
              <w:jc w:val="center"/>
              <w:rPr>
                <w:bCs/>
              </w:rPr>
            </w:pPr>
          </w:p>
        </w:tc>
        <w:tc>
          <w:tcPr>
            <w:tcW w:w="1520" w:type="dxa"/>
            <w:shd w:val="clear" w:color="auto" w:fill="auto"/>
            <w:vAlign w:val="center"/>
          </w:tcPr>
          <w:p w14:paraId="08EDA85C" w14:textId="77777777" w:rsidR="007253AC" w:rsidRPr="00F8257F" w:rsidRDefault="007253AC" w:rsidP="007253AC">
            <w:pPr>
              <w:jc w:val="center"/>
              <w:rPr>
                <w:bCs/>
              </w:rPr>
            </w:pPr>
            <w:r w:rsidRPr="00BF2AD4">
              <w:t>Lumber Throughput</w:t>
            </w:r>
          </w:p>
        </w:tc>
        <w:tc>
          <w:tcPr>
            <w:tcW w:w="2610" w:type="dxa"/>
            <w:vMerge w:val="restart"/>
            <w:shd w:val="clear" w:color="auto" w:fill="auto"/>
            <w:vAlign w:val="center"/>
          </w:tcPr>
          <w:p w14:paraId="4820EA8A" w14:textId="34109734" w:rsidR="007253AC" w:rsidRPr="005E510E" w:rsidRDefault="007253AC" w:rsidP="002B78FD">
            <w:pPr>
              <w:jc w:val="center"/>
              <w:rPr>
                <w:bCs/>
              </w:rPr>
            </w:pPr>
            <w:r w:rsidRPr="005E510E">
              <w:rPr>
                <w:bCs/>
              </w:rPr>
              <w:t>11 Miss. Admin. Code Pt. 2, Ch. 5 and 40 CFR 52.21(j), as established in the PSD Permit to Construct issued March 28, 2016 an</w:t>
            </w:r>
            <w:r w:rsidR="002B78FD">
              <w:rPr>
                <w:bCs/>
              </w:rPr>
              <w:t>d modified on November 7, 2018</w:t>
            </w:r>
          </w:p>
          <w:p w14:paraId="31D28B79" w14:textId="77777777" w:rsidR="007253AC" w:rsidRPr="005E510E" w:rsidRDefault="007253AC" w:rsidP="008638FC">
            <w:pPr>
              <w:jc w:val="center"/>
              <w:rPr>
                <w:bCs/>
                <w:sz w:val="14"/>
                <w:szCs w:val="14"/>
              </w:rPr>
            </w:pPr>
          </w:p>
          <w:p w14:paraId="6BD1B23C" w14:textId="584555A0" w:rsidR="007253AC" w:rsidRPr="00F8257F" w:rsidRDefault="007253AC" w:rsidP="008638FC">
            <w:pPr>
              <w:jc w:val="center"/>
              <w:rPr>
                <w:bCs/>
              </w:rPr>
            </w:pPr>
            <w:r>
              <w:rPr>
                <w:b/>
                <w:bCs/>
              </w:rPr>
              <w:t>(PSD BACT Limits</w:t>
            </w:r>
            <w:r w:rsidRPr="005E510E">
              <w:rPr>
                <w:b/>
                <w:bCs/>
              </w:rPr>
              <w:t>)</w:t>
            </w:r>
          </w:p>
        </w:tc>
        <w:tc>
          <w:tcPr>
            <w:tcW w:w="2340" w:type="dxa"/>
            <w:shd w:val="clear" w:color="auto" w:fill="auto"/>
            <w:vAlign w:val="center"/>
          </w:tcPr>
          <w:p w14:paraId="66AF8694" w14:textId="06A58218" w:rsidR="007253AC" w:rsidRPr="00431D11" w:rsidRDefault="007253AC" w:rsidP="007253AC">
            <w:pPr>
              <w:widowControl w:val="0"/>
              <w:jc w:val="center"/>
            </w:pPr>
            <w:r w:rsidRPr="008638FC">
              <w:t>350.0 MMBF / Year (for Combined Kilns; 12-Month Rolling Total)</w:t>
            </w:r>
          </w:p>
        </w:tc>
        <w:tc>
          <w:tcPr>
            <w:tcW w:w="3150" w:type="dxa"/>
            <w:shd w:val="clear" w:color="auto" w:fill="auto"/>
            <w:vAlign w:val="center"/>
          </w:tcPr>
          <w:p w14:paraId="3A2E330F" w14:textId="765CEE54" w:rsidR="007253AC" w:rsidRPr="00431D11" w:rsidRDefault="007253AC" w:rsidP="008638FC">
            <w:pPr>
              <w:jc w:val="center"/>
              <w:rPr>
                <w:bCs/>
              </w:rPr>
            </w:pPr>
            <w:r>
              <w:rPr>
                <w:bCs/>
              </w:rPr>
              <w:t>The facility will monitor and record the dried lumber throughput of the kiln both monthly and on a rolling 12-month total basis to demonstrate compliance.</w:t>
            </w:r>
          </w:p>
        </w:tc>
      </w:tr>
      <w:tr w:rsidR="007253AC" w:rsidRPr="00431D11" w14:paraId="0DFEEB02" w14:textId="77777777" w:rsidTr="00297DEB">
        <w:trPr>
          <w:trHeight w:val="1340"/>
          <w:jc w:val="center"/>
        </w:trPr>
        <w:tc>
          <w:tcPr>
            <w:tcW w:w="995" w:type="dxa"/>
            <w:vMerge/>
            <w:shd w:val="clear" w:color="auto" w:fill="auto"/>
            <w:vAlign w:val="center"/>
          </w:tcPr>
          <w:p w14:paraId="01D2C41B" w14:textId="6913D4AD" w:rsidR="007253AC" w:rsidRDefault="007253AC" w:rsidP="007253AC">
            <w:pPr>
              <w:widowControl w:val="0"/>
              <w:jc w:val="center"/>
              <w:rPr>
                <w:bCs/>
              </w:rPr>
            </w:pPr>
          </w:p>
        </w:tc>
        <w:tc>
          <w:tcPr>
            <w:tcW w:w="1520" w:type="dxa"/>
            <w:shd w:val="clear" w:color="auto" w:fill="auto"/>
            <w:vAlign w:val="center"/>
          </w:tcPr>
          <w:p w14:paraId="0DB9EE44" w14:textId="7A56F699" w:rsidR="007253AC" w:rsidRDefault="007253AC" w:rsidP="007253AC">
            <w:pPr>
              <w:jc w:val="center"/>
            </w:pPr>
            <w:r w:rsidRPr="008638FC">
              <w:t>Final Moisture Content</w:t>
            </w:r>
          </w:p>
        </w:tc>
        <w:tc>
          <w:tcPr>
            <w:tcW w:w="2610" w:type="dxa"/>
            <w:vMerge/>
            <w:shd w:val="clear" w:color="auto" w:fill="auto"/>
            <w:vAlign w:val="center"/>
          </w:tcPr>
          <w:p w14:paraId="30F671DC" w14:textId="77777777" w:rsidR="007253AC" w:rsidRPr="007374FF" w:rsidRDefault="007253AC" w:rsidP="007253AC">
            <w:pPr>
              <w:jc w:val="center"/>
              <w:rPr>
                <w:bCs/>
              </w:rPr>
            </w:pPr>
          </w:p>
        </w:tc>
        <w:tc>
          <w:tcPr>
            <w:tcW w:w="2340" w:type="dxa"/>
            <w:shd w:val="clear" w:color="auto" w:fill="auto"/>
            <w:vAlign w:val="center"/>
          </w:tcPr>
          <w:p w14:paraId="797AD684" w14:textId="081048E5" w:rsidR="007253AC" w:rsidRPr="007374FF" w:rsidRDefault="007253AC" w:rsidP="007253AC">
            <w:pPr>
              <w:widowControl w:val="0"/>
              <w:jc w:val="center"/>
            </w:pPr>
            <w:r w:rsidRPr="008638FC">
              <w:t>10% or Greater</w:t>
            </w:r>
          </w:p>
        </w:tc>
        <w:tc>
          <w:tcPr>
            <w:tcW w:w="3150" w:type="dxa"/>
            <w:shd w:val="clear" w:color="auto" w:fill="auto"/>
            <w:vAlign w:val="center"/>
          </w:tcPr>
          <w:p w14:paraId="78847EBC" w14:textId="3CB95498" w:rsidR="007253AC" w:rsidRDefault="007253AC" w:rsidP="00297DEB">
            <w:pPr>
              <w:jc w:val="center"/>
              <w:rPr>
                <w:bCs/>
              </w:rPr>
            </w:pPr>
            <w:r>
              <w:rPr>
                <w:bCs/>
              </w:rPr>
              <w:t>The facility will m</w:t>
            </w:r>
            <w:r w:rsidRPr="00297DEB">
              <w:rPr>
                <w:bCs/>
              </w:rPr>
              <w:t>onitor</w:t>
            </w:r>
            <w:r>
              <w:rPr>
                <w:bCs/>
              </w:rPr>
              <w:t xml:space="preserve"> the</w:t>
            </w:r>
            <w:r w:rsidRPr="00297DEB">
              <w:rPr>
                <w:bCs/>
              </w:rPr>
              <w:t xml:space="preserve"> </w:t>
            </w:r>
            <w:r>
              <w:rPr>
                <w:bCs/>
              </w:rPr>
              <w:t>m</w:t>
            </w:r>
            <w:r w:rsidRPr="00297DEB">
              <w:rPr>
                <w:bCs/>
              </w:rPr>
              <w:t xml:space="preserve">oisture </w:t>
            </w:r>
            <w:r>
              <w:rPr>
                <w:bCs/>
              </w:rPr>
              <w:t>c</w:t>
            </w:r>
            <w:r w:rsidRPr="00297DEB">
              <w:rPr>
                <w:bCs/>
              </w:rPr>
              <w:t xml:space="preserve">ontent of </w:t>
            </w:r>
            <w:r>
              <w:rPr>
                <w:bCs/>
              </w:rPr>
              <w:t>d</w:t>
            </w:r>
            <w:r w:rsidRPr="00297DEB">
              <w:rPr>
                <w:bCs/>
              </w:rPr>
              <w:t xml:space="preserve">ried </w:t>
            </w:r>
            <w:r>
              <w:rPr>
                <w:bCs/>
              </w:rPr>
              <w:t>l</w:t>
            </w:r>
            <w:r w:rsidRPr="00297DEB">
              <w:rPr>
                <w:bCs/>
              </w:rPr>
              <w:t xml:space="preserve">umber </w:t>
            </w:r>
            <w:r>
              <w:rPr>
                <w:bCs/>
              </w:rPr>
              <w:t>p</w:t>
            </w:r>
            <w:r w:rsidRPr="00297DEB">
              <w:rPr>
                <w:bCs/>
              </w:rPr>
              <w:t xml:space="preserve">rocessed </w:t>
            </w:r>
            <w:r>
              <w:rPr>
                <w:bCs/>
              </w:rPr>
              <w:t>t</w:t>
            </w:r>
            <w:r w:rsidRPr="00297DEB">
              <w:rPr>
                <w:bCs/>
              </w:rPr>
              <w:t xml:space="preserve">hrough the </w:t>
            </w:r>
            <w:r>
              <w:rPr>
                <w:bCs/>
              </w:rPr>
              <w:t>p</w:t>
            </w:r>
            <w:r w:rsidRPr="00297DEB">
              <w:rPr>
                <w:bCs/>
              </w:rPr>
              <w:t xml:space="preserve">laner </w:t>
            </w:r>
            <w:r>
              <w:rPr>
                <w:bCs/>
              </w:rPr>
              <w:t>m</w:t>
            </w:r>
            <w:r w:rsidRPr="00297DEB">
              <w:rPr>
                <w:bCs/>
              </w:rPr>
              <w:t xml:space="preserve">ill </w:t>
            </w:r>
            <w:r>
              <w:rPr>
                <w:bCs/>
              </w:rPr>
              <w:t>a</w:t>
            </w:r>
            <w:r w:rsidRPr="00297DEB">
              <w:rPr>
                <w:bCs/>
              </w:rPr>
              <w:t>rea</w:t>
            </w:r>
            <w:r>
              <w:rPr>
                <w:bCs/>
              </w:rPr>
              <w:t xml:space="preserve">. </w:t>
            </w:r>
            <w:proofErr w:type="gramStart"/>
            <w:r>
              <w:rPr>
                <w:bCs/>
              </w:rPr>
              <w:t>And</w:t>
            </w:r>
            <w:proofErr w:type="gramEnd"/>
            <w:r>
              <w:rPr>
                <w:bCs/>
              </w:rPr>
              <w:t xml:space="preserve"> will m</w:t>
            </w:r>
            <w:r w:rsidRPr="00297DEB">
              <w:rPr>
                <w:bCs/>
              </w:rPr>
              <w:t xml:space="preserve">aintain </w:t>
            </w:r>
            <w:r>
              <w:rPr>
                <w:bCs/>
              </w:rPr>
              <w:t>m</w:t>
            </w:r>
            <w:r w:rsidRPr="00297DEB">
              <w:rPr>
                <w:bCs/>
              </w:rPr>
              <w:t xml:space="preserve">onthly </w:t>
            </w:r>
            <w:r>
              <w:rPr>
                <w:bCs/>
              </w:rPr>
              <w:t>m</w:t>
            </w:r>
            <w:r w:rsidRPr="00297DEB">
              <w:rPr>
                <w:bCs/>
              </w:rPr>
              <w:t xml:space="preserve">oisture </w:t>
            </w:r>
            <w:r>
              <w:rPr>
                <w:bCs/>
              </w:rPr>
              <w:t>c</w:t>
            </w:r>
            <w:r w:rsidRPr="00297DEB">
              <w:rPr>
                <w:bCs/>
              </w:rPr>
              <w:t xml:space="preserve">ontent </w:t>
            </w:r>
            <w:r>
              <w:rPr>
                <w:bCs/>
              </w:rPr>
              <w:t>t</w:t>
            </w:r>
            <w:r w:rsidRPr="00297DEB">
              <w:rPr>
                <w:bCs/>
              </w:rPr>
              <w:t xml:space="preserve">rending </w:t>
            </w:r>
            <w:r>
              <w:rPr>
                <w:bCs/>
              </w:rPr>
              <w:t>d</w:t>
            </w:r>
            <w:r w:rsidRPr="00297DEB">
              <w:rPr>
                <w:bCs/>
              </w:rPr>
              <w:t>ata</w:t>
            </w:r>
            <w:r>
              <w:rPr>
                <w:bCs/>
              </w:rPr>
              <w:t>.</w:t>
            </w:r>
          </w:p>
        </w:tc>
      </w:tr>
      <w:tr w:rsidR="007253AC" w:rsidRPr="00431D11" w14:paraId="4597C36F" w14:textId="77777777" w:rsidTr="008638FC">
        <w:trPr>
          <w:trHeight w:val="1070"/>
          <w:jc w:val="center"/>
        </w:trPr>
        <w:tc>
          <w:tcPr>
            <w:tcW w:w="995" w:type="dxa"/>
            <w:vMerge/>
            <w:shd w:val="clear" w:color="auto" w:fill="auto"/>
            <w:vAlign w:val="center"/>
          </w:tcPr>
          <w:p w14:paraId="660AF62D" w14:textId="2BBD26BB" w:rsidR="007253AC" w:rsidRPr="00431D11" w:rsidRDefault="007253AC" w:rsidP="007253AC">
            <w:pPr>
              <w:widowControl w:val="0"/>
              <w:jc w:val="center"/>
            </w:pPr>
          </w:p>
        </w:tc>
        <w:tc>
          <w:tcPr>
            <w:tcW w:w="1520" w:type="dxa"/>
            <w:shd w:val="clear" w:color="auto" w:fill="auto"/>
            <w:vAlign w:val="center"/>
          </w:tcPr>
          <w:p w14:paraId="4D930DB7" w14:textId="284DDA5B" w:rsidR="007253AC" w:rsidRPr="00431D11" w:rsidRDefault="007253AC" w:rsidP="007253AC">
            <w:pPr>
              <w:jc w:val="center"/>
              <w:rPr>
                <w:bCs/>
              </w:rPr>
            </w:pPr>
            <w:r w:rsidRPr="008638FC">
              <w:t>Maximum Operating Temperature</w:t>
            </w:r>
          </w:p>
        </w:tc>
        <w:tc>
          <w:tcPr>
            <w:tcW w:w="2610" w:type="dxa"/>
            <w:vMerge/>
            <w:shd w:val="clear" w:color="auto" w:fill="auto"/>
            <w:vAlign w:val="center"/>
          </w:tcPr>
          <w:p w14:paraId="1D81F881" w14:textId="582279E0" w:rsidR="007253AC" w:rsidRPr="00431D11" w:rsidRDefault="007253AC" w:rsidP="007253AC">
            <w:pPr>
              <w:jc w:val="center"/>
              <w:rPr>
                <w:bCs/>
              </w:rPr>
            </w:pPr>
          </w:p>
        </w:tc>
        <w:tc>
          <w:tcPr>
            <w:tcW w:w="2340" w:type="dxa"/>
            <w:tcBorders>
              <w:top w:val="single" w:sz="4" w:space="0" w:color="auto"/>
              <w:bottom w:val="single" w:sz="4" w:space="0" w:color="auto"/>
              <w:right w:val="single" w:sz="4" w:space="0" w:color="auto"/>
            </w:tcBorders>
            <w:shd w:val="clear" w:color="auto" w:fill="auto"/>
            <w:vAlign w:val="center"/>
          </w:tcPr>
          <w:p w14:paraId="1E272A3B" w14:textId="2173A43E" w:rsidR="007253AC" w:rsidRPr="00431D11" w:rsidRDefault="007253AC" w:rsidP="007253AC">
            <w:pPr>
              <w:widowControl w:val="0"/>
              <w:jc w:val="center"/>
            </w:pPr>
            <w:r w:rsidRPr="008638FC">
              <w:t>275 ºF</w:t>
            </w:r>
          </w:p>
        </w:tc>
        <w:tc>
          <w:tcPr>
            <w:tcW w:w="3150" w:type="dxa"/>
            <w:tcBorders>
              <w:top w:val="single" w:sz="4" w:space="0" w:color="auto"/>
              <w:left w:val="single" w:sz="4" w:space="0" w:color="auto"/>
              <w:right w:val="single" w:sz="4" w:space="0" w:color="auto"/>
            </w:tcBorders>
            <w:shd w:val="clear" w:color="auto" w:fill="auto"/>
            <w:vAlign w:val="center"/>
          </w:tcPr>
          <w:p w14:paraId="6D433010" w14:textId="23410B0E" w:rsidR="007253AC" w:rsidRPr="00431D11" w:rsidRDefault="007253AC" w:rsidP="00297DEB">
            <w:pPr>
              <w:jc w:val="center"/>
              <w:rPr>
                <w:bCs/>
              </w:rPr>
            </w:pPr>
            <w:r>
              <w:rPr>
                <w:bCs/>
              </w:rPr>
              <w:t>The facility will record m</w:t>
            </w:r>
            <w:r w:rsidRPr="00297DEB">
              <w:rPr>
                <w:bCs/>
              </w:rPr>
              <w:t xml:space="preserve">onthly </w:t>
            </w:r>
            <w:r>
              <w:rPr>
                <w:bCs/>
              </w:rPr>
              <w:t>o</w:t>
            </w:r>
            <w:r w:rsidRPr="00297DEB">
              <w:rPr>
                <w:bCs/>
              </w:rPr>
              <w:t xml:space="preserve">perating </w:t>
            </w:r>
            <w:r>
              <w:rPr>
                <w:bCs/>
              </w:rPr>
              <w:t>t</w:t>
            </w:r>
            <w:r w:rsidRPr="00297DEB">
              <w:rPr>
                <w:bCs/>
              </w:rPr>
              <w:t xml:space="preserve">emperature </w:t>
            </w:r>
            <w:r>
              <w:rPr>
                <w:bCs/>
              </w:rPr>
              <w:t>t</w:t>
            </w:r>
            <w:r w:rsidRPr="00297DEB">
              <w:rPr>
                <w:bCs/>
              </w:rPr>
              <w:t xml:space="preserve">rending </w:t>
            </w:r>
            <w:r>
              <w:rPr>
                <w:bCs/>
              </w:rPr>
              <w:t>d</w:t>
            </w:r>
            <w:r w:rsidRPr="00297DEB">
              <w:rPr>
                <w:bCs/>
              </w:rPr>
              <w:t>ata</w:t>
            </w:r>
            <w:r>
              <w:rPr>
                <w:bCs/>
              </w:rPr>
              <w:t>.</w:t>
            </w:r>
          </w:p>
        </w:tc>
      </w:tr>
      <w:tr w:rsidR="007107FD" w:rsidRPr="00431D11" w14:paraId="3030B521" w14:textId="77777777" w:rsidTr="007107FD">
        <w:trPr>
          <w:trHeight w:val="980"/>
          <w:jc w:val="center"/>
        </w:trPr>
        <w:tc>
          <w:tcPr>
            <w:tcW w:w="995" w:type="dxa"/>
            <w:shd w:val="clear" w:color="auto" w:fill="auto"/>
            <w:vAlign w:val="center"/>
          </w:tcPr>
          <w:p w14:paraId="6A314945" w14:textId="2D4AAB26" w:rsidR="007107FD" w:rsidRPr="00431D11" w:rsidRDefault="007107FD" w:rsidP="007253AC">
            <w:pPr>
              <w:widowControl w:val="0"/>
              <w:jc w:val="center"/>
            </w:pPr>
            <w:r>
              <w:t>AA-004</w:t>
            </w:r>
          </w:p>
        </w:tc>
        <w:tc>
          <w:tcPr>
            <w:tcW w:w="1520" w:type="dxa"/>
            <w:vMerge w:val="restart"/>
            <w:shd w:val="clear" w:color="auto" w:fill="auto"/>
            <w:vAlign w:val="center"/>
          </w:tcPr>
          <w:p w14:paraId="1812BB86" w14:textId="77777777" w:rsidR="007107FD" w:rsidRPr="007253AC" w:rsidRDefault="007107FD" w:rsidP="007253AC">
            <w:pPr>
              <w:pStyle w:val="NoSpacing"/>
              <w:jc w:val="center"/>
            </w:pPr>
            <w:r w:rsidRPr="007253AC">
              <w:t>PM</w:t>
            </w:r>
          </w:p>
          <w:p w14:paraId="21B0B549" w14:textId="77777777" w:rsidR="007107FD" w:rsidRPr="007253AC" w:rsidRDefault="007107FD" w:rsidP="007253AC">
            <w:pPr>
              <w:widowControl w:val="0"/>
              <w:jc w:val="center"/>
            </w:pPr>
            <w:r w:rsidRPr="007253AC">
              <w:t xml:space="preserve">(filterable only) </w:t>
            </w:r>
          </w:p>
          <w:p w14:paraId="13276E70" w14:textId="77777777" w:rsidR="007107FD" w:rsidRPr="007253AC" w:rsidRDefault="007107FD" w:rsidP="007253AC">
            <w:pPr>
              <w:widowControl w:val="0"/>
              <w:jc w:val="center"/>
              <w:rPr>
                <w:sz w:val="10"/>
                <w:szCs w:val="10"/>
              </w:rPr>
            </w:pPr>
          </w:p>
          <w:p w14:paraId="6AC48C03" w14:textId="77777777" w:rsidR="007107FD" w:rsidRPr="007253AC" w:rsidRDefault="007107FD" w:rsidP="007253AC">
            <w:pPr>
              <w:widowControl w:val="0"/>
              <w:jc w:val="center"/>
            </w:pPr>
            <w:r w:rsidRPr="007253AC">
              <w:t>PM</w:t>
            </w:r>
            <w:r w:rsidRPr="007253AC">
              <w:rPr>
                <w:vertAlign w:val="subscript"/>
              </w:rPr>
              <w:t>10</w:t>
            </w:r>
            <w:r w:rsidRPr="007253AC">
              <w:t xml:space="preserve"> / PM</w:t>
            </w:r>
            <w:r w:rsidRPr="007253AC">
              <w:rPr>
                <w:vertAlign w:val="subscript"/>
              </w:rPr>
              <w:t>2.5</w:t>
            </w:r>
          </w:p>
          <w:p w14:paraId="7FD4D4FF" w14:textId="113C3A51" w:rsidR="007107FD" w:rsidRPr="00431D11" w:rsidRDefault="007107FD" w:rsidP="007253AC">
            <w:pPr>
              <w:jc w:val="center"/>
              <w:rPr>
                <w:bCs/>
              </w:rPr>
            </w:pPr>
            <w:r w:rsidRPr="007253AC">
              <w:t>(filterable + condensable)</w:t>
            </w:r>
          </w:p>
        </w:tc>
        <w:tc>
          <w:tcPr>
            <w:tcW w:w="2610" w:type="dxa"/>
            <w:vMerge w:val="restart"/>
            <w:tcBorders>
              <w:left w:val="single" w:sz="4" w:space="0" w:color="auto"/>
              <w:right w:val="single" w:sz="4" w:space="0" w:color="auto"/>
            </w:tcBorders>
            <w:shd w:val="clear" w:color="auto" w:fill="auto"/>
            <w:vAlign w:val="center"/>
          </w:tcPr>
          <w:p w14:paraId="735E9114" w14:textId="77777777" w:rsidR="007107FD" w:rsidRPr="007253AC" w:rsidRDefault="007107FD" w:rsidP="007253AC">
            <w:pPr>
              <w:jc w:val="center"/>
              <w:rPr>
                <w:bCs/>
              </w:rPr>
            </w:pPr>
            <w:r w:rsidRPr="007253AC">
              <w:rPr>
                <w:bCs/>
              </w:rPr>
              <w:t>11 Miss. Admin. Code Pt. 2, Ch. 5., as established in the PSD Permit to Construct issued March 28, 2016 and modified on November 7, 2018</w:t>
            </w:r>
          </w:p>
          <w:p w14:paraId="0DF0B038" w14:textId="77777777" w:rsidR="007107FD" w:rsidRPr="007253AC" w:rsidRDefault="007107FD" w:rsidP="007253AC">
            <w:pPr>
              <w:jc w:val="center"/>
              <w:rPr>
                <w:b/>
                <w:bCs/>
                <w:sz w:val="14"/>
                <w:szCs w:val="14"/>
              </w:rPr>
            </w:pPr>
          </w:p>
          <w:p w14:paraId="22FC4149" w14:textId="65A502DF" w:rsidR="007107FD" w:rsidRPr="00431D11" w:rsidRDefault="007107FD" w:rsidP="007253AC">
            <w:pPr>
              <w:jc w:val="center"/>
              <w:rPr>
                <w:b/>
                <w:bCs/>
              </w:rPr>
            </w:pPr>
            <w:r w:rsidRPr="007253AC">
              <w:rPr>
                <w:b/>
                <w:bCs/>
              </w:rPr>
              <w:t>(PSD Avoidance Standard)</w:t>
            </w:r>
          </w:p>
        </w:tc>
        <w:tc>
          <w:tcPr>
            <w:tcW w:w="2340" w:type="dxa"/>
            <w:vAlign w:val="center"/>
          </w:tcPr>
          <w:p w14:paraId="426150BB" w14:textId="66C29F64" w:rsidR="007107FD" w:rsidRPr="00431D11" w:rsidRDefault="007107FD" w:rsidP="007253AC">
            <w:pPr>
              <w:widowControl w:val="0"/>
              <w:jc w:val="center"/>
            </w:pPr>
            <w:r w:rsidRPr="007253AC">
              <w:t>Operational Requirement (Total Enclosure)</w:t>
            </w:r>
          </w:p>
        </w:tc>
        <w:tc>
          <w:tcPr>
            <w:tcW w:w="3150" w:type="dxa"/>
            <w:vMerge w:val="restart"/>
            <w:tcBorders>
              <w:left w:val="single" w:sz="4" w:space="0" w:color="auto"/>
              <w:right w:val="single" w:sz="4" w:space="0" w:color="auto"/>
            </w:tcBorders>
            <w:shd w:val="clear" w:color="auto" w:fill="auto"/>
            <w:vAlign w:val="center"/>
          </w:tcPr>
          <w:p w14:paraId="2A62ED27" w14:textId="1FC26209" w:rsidR="007107FD" w:rsidRPr="00431D11" w:rsidRDefault="007107FD" w:rsidP="007253AC">
            <w:pPr>
              <w:spacing w:before="120" w:after="120"/>
              <w:jc w:val="center"/>
              <w:rPr>
                <w:bCs/>
              </w:rPr>
            </w:pPr>
            <w:r>
              <w:rPr>
                <w:bCs/>
              </w:rPr>
              <w:t xml:space="preserve">The facility will perform </w:t>
            </w:r>
            <w:r w:rsidR="00DC4C3C">
              <w:rPr>
                <w:bCs/>
              </w:rPr>
              <w:t>monthly</w:t>
            </w:r>
            <w:r>
              <w:rPr>
                <w:bCs/>
              </w:rPr>
              <w:t xml:space="preserve"> visible emission observations on the ambient air outside each building.</w:t>
            </w:r>
          </w:p>
        </w:tc>
      </w:tr>
      <w:tr w:rsidR="007107FD" w:rsidRPr="00431D11" w14:paraId="27E990B9" w14:textId="77777777" w:rsidTr="007107FD">
        <w:trPr>
          <w:trHeight w:val="980"/>
          <w:jc w:val="center"/>
        </w:trPr>
        <w:tc>
          <w:tcPr>
            <w:tcW w:w="995" w:type="dxa"/>
            <w:shd w:val="clear" w:color="auto" w:fill="auto"/>
            <w:vAlign w:val="center"/>
          </w:tcPr>
          <w:p w14:paraId="6D067E48" w14:textId="0E016AC4" w:rsidR="007107FD" w:rsidRDefault="007107FD" w:rsidP="007253AC">
            <w:pPr>
              <w:widowControl w:val="0"/>
              <w:jc w:val="center"/>
            </w:pPr>
            <w:r w:rsidRPr="007253AC">
              <w:t>AA-007</w:t>
            </w:r>
          </w:p>
        </w:tc>
        <w:tc>
          <w:tcPr>
            <w:tcW w:w="1520" w:type="dxa"/>
            <w:vMerge/>
            <w:shd w:val="clear" w:color="auto" w:fill="auto"/>
            <w:vAlign w:val="center"/>
          </w:tcPr>
          <w:p w14:paraId="2D2771A4" w14:textId="77777777" w:rsidR="007107FD" w:rsidRDefault="007107FD" w:rsidP="007253AC">
            <w:pPr>
              <w:pStyle w:val="NoSpacing"/>
              <w:jc w:val="center"/>
            </w:pPr>
          </w:p>
        </w:tc>
        <w:tc>
          <w:tcPr>
            <w:tcW w:w="2610" w:type="dxa"/>
            <w:vMerge/>
            <w:tcBorders>
              <w:left w:val="single" w:sz="4" w:space="0" w:color="auto"/>
              <w:right w:val="single" w:sz="4" w:space="0" w:color="auto"/>
            </w:tcBorders>
            <w:shd w:val="clear" w:color="auto" w:fill="auto"/>
            <w:vAlign w:val="center"/>
          </w:tcPr>
          <w:p w14:paraId="5D3F6031" w14:textId="77777777" w:rsidR="007107FD" w:rsidRPr="007253AC" w:rsidRDefault="007107FD" w:rsidP="007253AC">
            <w:pPr>
              <w:jc w:val="center"/>
              <w:rPr>
                <w:bCs/>
              </w:rPr>
            </w:pPr>
          </w:p>
        </w:tc>
        <w:tc>
          <w:tcPr>
            <w:tcW w:w="2340" w:type="dxa"/>
            <w:vAlign w:val="center"/>
          </w:tcPr>
          <w:p w14:paraId="635A19CE" w14:textId="72CAEDAB" w:rsidR="007107FD" w:rsidRDefault="007107FD" w:rsidP="007253AC">
            <w:pPr>
              <w:widowControl w:val="0"/>
              <w:jc w:val="center"/>
            </w:pPr>
            <w:r w:rsidRPr="007253AC">
              <w:t>Operational Requirement (Fu</w:t>
            </w:r>
            <w:r w:rsidR="00DC4C3C">
              <w:t>l</w:t>
            </w:r>
            <w:r w:rsidRPr="007253AC">
              <w:t>l Enclosure)</w:t>
            </w:r>
          </w:p>
        </w:tc>
        <w:tc>
          <w:tcPr>
            <w:tcW w:w="3150" w:type="dxa"/>
            <w:vMerge/>
            <w:tcBorders>
              <w:left w:val="single" w:sz="4" w:space="0" w:color="auto"/>
              <w:right w:val="single" w:sz="4" w:space="0" w:color="auto"/>
            </w:tcBorders>
            <w:shd w:val="clear" w:color="auto" w:fill="auto"/>
            <w:vAlign w:val="center"/>
          </w:tcPr>
          <w:p w14:paraId="129CE428" w14:textId="62A0BD2B" w:rsidR="007107FD" w:rsidRPr="00431D11" w:rsidRDefault="007107FD" w:rsidP="007253AC">
            <w:pPr>
              <w:spacing w:before="120" w:after="120"/>
              <w:jc w:val="center"/>
              <w:rPr>
                <w:bCs/>
              </w:rPr>
            </w:pPr>
          </w:p>
        </w:tc>
      </w:tr>
      <w:tr w:rsidR="007107FD" w:rsidRPr="00431D11" w14:paraId="0CC54979" w14:textId="77777777" w:rsidTr="007253AC">
        <w:trPr>
          <w:trHeight w:val="1970"/>
          <w:jc w:val="center"/>
        </w:trPr>
        <w:tc>
          <w:tcPr>
            <w:tcW w:w="995" w:type="dxa"/>
            <w:shd w:val="clear" w:color="auto" w:fill="auto"/>
            <w:vAlign w:val="center"/>
          </w:tcPr>
          <w:p w14:paraId="18B66BA5" w14:textId="30A3ADBC" w:rsidR="007107FD" w:rsidRDefault="007107FD" w:rsidP="007253AC">
            <w:pPr>
              <w:widowControl w:val="0"/>
              <w:jc w:val="center"/>
            </w:pPr>
            <w:r>
              <w:t>AA-009</w:t>
            </w:r>
          </w:p>
        </w:tc>
        <w:tc>
          <w:tcPr>
            <w:tcW w:w="1520" w:type="dxa"/>
            <w:vMerge/>
            <w:shd w:val="clear" w:color="auto" w:fill="auto"/>
            <w:vAlign w:val="center"/>
          </w:tcPr>
          <w:p w14:paraId="294C4FF1" w14:textId="77777777" w:rsidR="007107FD" w:rsidRDefault="007107FD" w:rsidP="007253AC">
            <w:pPr>
              <w:pStyle w:val="NoSpacing"/>
              <w:jc w:val="center"/>
            </w:pPr>
          </w:p>
        </w:tc>
        <w:tc>
          <w:tcPr>
            <w:tcW w:w="2610" w:type="dxa"/>
            <w:tcBorders>
              <w:left w:val="single" w:sz="4" w:space="0" w:color="auto"/>
              <w:right w:val="single" w:sz="4" w:space="0" w:color="auto"/>
            </w:tcBorders>
            <w:shd w:val="clear" w:color="auto" w:fill="auto"/>
            <w:vAlign w:val="center"/>
          </w:tcPr>
          <w:p w14:paraId="2BBCA31A" w14:textId="77777777" w:rsidR="007107FD" w:rsidRPr="007253AC" w:rsidRDefault="007107FD" w:rsidP="007253AC">
            <w:pPr>
              <w:widowControl w:val="0"/>
              <w:jc w:val="center"/>
              <w:rPr>
                <w:bCs/>
              </w:rPr>
            </w:pPr>
            <w:r w:rsidRPr="007253AC">
              <w:rPr>
                <w:bCs/>
              </w:rPr>
              <w:t>11 Miss. Admin. Code Pt. 2, Ch. 5., as established in the PSD Permit to Construct issued March 28, 2016 and modified on November 7, 2018</w:t>
            </w:r>
          </w:p>
          <w:p w14:paraId="7EC9DEC1" w14:textId="77777777" w:rsidR="007107FD" w:rsidRPr="007253AC" w:rsidRDefault="007107FD" w:rsidP="007253AC">
            <w:pPr>
              <w:widowControl w:val="0"/>
              <w:rPr>
                <w:bCs/>
                <w:sz w:val="10"/>
                <w:szCs w:val="10"/>
              </w:rPr>
            </w:pPr>
          </w:p>
          <w:p w14:paraId="6FA39076" w14:textId="217388CD" w:rsidR="007107FD" w:rsidRPr="007253AC" w:rsidRDefault="007107FD" w:rsidP="007253AC">
            <w:pPr>
              <w:jc w:val="center"/>
              <w:rPr>
                <w:bCs/>
              </w:rPr>
            </w:pPr>
            <w:r w:rsidRPr="007253AC">
              <w:rPr>
                <w:b/>
                <w:bCs/>
              </w:rPr>
              <w:t>(PSD Avoidance Limit)</w:t>
            </w:r>
          </w:p>
        </w:tc>
        <w:tc>
          <w:tcPr>
            <w:tcW w:w="2340" w:type="dxa"/>
            <w:vAlign w:val="center"/>
          </w:tcPr>
          <w:p w14:paraId="497578E2" w14:textId="77777777" w:rsidR="007107FD" w:rsidRPr="007253AC" w:rsidRDefault="007107FD" w:rsidP="007253AC">
            <w:pPr>
              <w:widowControl w:val="0"/>
              <w:jc w:val="center"/>
            </w:pPr>
            <w:r w:rsidRPr="007253AC">
              <w:t>20.93 Tons / Hour</w:t>
            </w:r>
          </w:p>
          <w:p w14:paraId="3AAB4B5F" w14:textId="77777777" w:rsidR="007107FD" w:rsidRPr="007253AC" w:rsidRDefault="007107FD" w:rsidP="007253AC">
            <w:pPr>
              <w:widowControl w:val="0"/>
              <w:jc w:val="center"/>
              <w:rPr>
                <w:sz w:val="10"/>
                <w:szCs w:val="10"/>
              </w:rPr>
            </w:pPr>
          </w:p>
          <w:p w14:paraId="70E9FCBE" w14:textId="58774A1C" w:rsidR="007107FD" w:rsidRPr="007253AC" w:rsidRDefault="007107FD" w:rsidP="007253AC">
            <w:pPr>
              <w:widowControl w:val="0"/>
              <w:jc w:val="center"/>
            </w:pPr>
            <w:r w:rsidRPr="007253AC">
              <w:t xml:space="preserve">70,000 </w:t>
            </w:r>
            <w:proofErr w:type="spellStart"/>
            <w:r w:rsidRPr="007253AC">
              <w:t>tpy</w:t>
            </w:r>
            <w:proofErr w:type="spellEnd"/>
            <w:r w:rsidRPr="007253AC">
              <w:t xml:space="preserve"> (12-Month Rolling Total)</w:t>
            </w:r>
          </w:p>
        </w:tc>
        <w:tc>
          <w:tcPr>
            <w:tcW w:w="3150" w:type="dxa"/>
            <w:tcBorders>
              <w:left w:val="single" w:sz="4" w:space="0" w:color="auto"/>
              <w:right w:val="single" w:sz="4" w:space="0" w:color="auto"/>
            </w:tcBorders>
            <w:shd w:val="clear" w:color="auto" w:fill="auto"/>
            <w:vAlign w:val="center"/>
          </w:tcPr>
          <w:p w14:paraId="5B920B38" w14:textId="3895D1D8" w:rsidR="007107FD" w:rsidRPr="00431D11" w:rsidRDefault="007107FD" w:rsidP="007107FD">
            <w:pPr>
              <w:pStyle w:val="NoSpacing"/>
              <w:jc w:val="center"/>
            </w:pPr>
            <w:r>
              <w:t>The facility will m</w:t>
            </w:r>
            <w:r w:rsidRPr="007107FD">
              <w:t xml:space="preserve">onitor </w:t>
            </w:r>
            <w:r>
              <w:t>the total t</w:t>
            </w:r>
            <w:r w:rsidRPr="007107FD">
              <w:t xml:space="preserve">hroughput of </w:t>
            </w:r>
            <w:r>
              <w:t>d</w:t>
            </w:r>
            <w:r w:rsidRPr="007107FD">
              <w:t xml:space="preserve">ried </w:t>
            </w:r>
            <w:r>
              <w:t>l</w:t>
            </w:r>
            <w:r w:rsidRPr="007107FD">
              <w:t xml:space="preserve">umber </w:t>
            </w:r>
            <w:r>
              <w:t>s</w:t>
            </w:r>
            <w:r w:rsidRPr="007107FD">
              <w:t xml:space="preserve">havings / </w:t>
            </w:r>
            <w:r>
              <w:t>t</w:t>
            </w:r>
            <w:r w:rsidRPr="007107FD">
              <w:t xml:space="preserve">rim to </w:t>
            </w:r>
            <w:r>
              <w:t xml:space="preserve">the </w:t>
            </w:r>
            <w:proofErr w:type="spellStart"/>
            <w:r>
              <w:t>c</w:t>
            </w:r>
            <w:r w:rsidRPr="007107FD">
              <w:t>yclofilter</w:t>
            </w:r>
            <w:proofErr w:type="spellEnd"/>
            <w:r w:rsidRPr="007107FD">
              <w:t xml:space="preserve"> </w:t>
            </w:r>
            <w:r>
              <w:t>m</w:t>
            </w:r>
            <w:r w:rsidRPr="007107FD">
              <w:t>onthly</w:t>
            </w:r>
            <w:r>
              <w:t xml:space="preserve"> and c</w:t>
            </w:r>
            <w:r w:rsidRPr="007107FD">
              <w:t xml:space="preserve">alculate </w:t>
            </w:r>
            <w:r>
              <w:t>an</w:t>
            </w:r>
            <w:r w:rsidRPr="007107FD">
              <w:t xml:space="preserve"> </w:t>
            </w:r>
            <w:r>
              <w:t>a</w:t>
            </w:r>
            <w:r w:rsidRPr="007107FD">
              <w:t xml:space="preserve">verage </w:t>
            </w:r>
            <w:r>
              <w:t>h</w:t>
            </w:r>
            <w:r w:rsidRPr="007107FD">
              <w:t xml:space="preserve">ourly </w:t>
            </w:r>
            <w:r>
              <w:t>throughput (based on actual hours of operation).</w:t>
            </w:r>
          </w:p>
        </w:tc>
      </w:tr>
    </w:tbl>
    <w:p w14:paraId="59AAC4C8" w14:textId="77777777" w:rsidR="002B78FD" w:rsidRDefault="002B78FD">
      <w:r>
        <w:br w:type="page"/>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1520"/>
        <w:gridCol w:w="2610"/>
        <w:gridCol w:w="2340"/>
        <w:gridCol w:w="3150"/>
      </w:tblGrid>
      <w:tr w:rsidR="007107FD" w:rsidRPr="00431D11" w14:paraId="547621D1" w14:textId="77777777" w:rsidTr="007107FD">
        <w:trPr>
          <w:trHeight w:val="890"/>
          <w:jc w:val="center"/>
        </w:trPr>
        <w:tc>
          <w:tcPr>
            <w:tcW w:w="995" w:type="dxa"/>
            <w:tcBorders>
              <w:top w:val="single" w:sz="4" w:space="0" w:color="auto"/>
              <w:bottom w:val="single" w:sz="4" w:space="0" w:color="auto"/>
            </w:tcBorders>
            <w:shd w:val="clear" w:color="auto" w:fill="D9D9D9" w:themeFill="background1" w:themeFillShade="D9"/>
            <w:vAlign w:val="center"/>
          </w:tcPr>
          <w:p w14:paraId="51F21BE7" w14:textId="7F0E10E3" w:rsidR="007107FD" w:rsidRPr="007107FD" w:rsidRDefault="007107FD" w:rsidP="007107FD">
            <w:pPr>
              <w:jc w:val="center"/>
              <w:rPr>
                <w:b/>
                <w:bCs/>
              </w:rPr>
            </w:pPr>
            <w:r w:rsidRPr="007107FD">
              <w:lastRenderedPageBreak/>
              <w:br w:type="page"/>
            </w:r>
            <w:r w:rsidRPr="007107FD">
              <w:rPr>
                <w:b/>
                <w:bCs/>
              </w:rPr>
              <w:t xml:space="preserve">Emission </w:t>
            </w:r>
          </w:p>
          <w:p w14:paraId="66D16001" w14:textId="50255C69" w:rsidR="007107FD" w:rsidRPr="007107FD" w:rsidRDefault="007107FD" w:rsidP="007107FD">
            <w:pPr>
              <w:widowControl w:val="0"/>
              <w:jc w:val="center"/>
            </w:pPr>
            <w:r w:rsidRPr="007107FD">
              <w:rPr>
                <w:b/>
                <w:bCs/>
              </w:rPr>
              <w:t>Point(s)</w:t>
            </w:r>
          </w:p>
        </w:tc>
        <w:tc>
          <w:tcPr>
            <w:tcW w:w="1520" w:type="dxa"/>
            <w:tcBorders>
              <w:top w:val="single" w:sz="4" w:space="0" w:color="auto"/>
              <w:bottom w:val="single" w:sz="4" w:space="0" w:color="auto"/>
            </w:tcBorders>
            <w:shd w:val="clear" w:color="auto" w:fill="D9D9D9" w:themeFill="background1" w:themeFillShade="D9"/>
            <w:vAlign w:val="center"/>
          </w:tcPr>
          <w:p w14:paraId="44570CC6" w14:textId="77777777" w:rsidR="007107FD" w:rsidRPr="007107FD" w:rsidRDefault="007107FD" w:rsidP="007107FD">
            <w:pPr>
              <w:widowControl w:val="0"/>
              <w:jc w:val="center"/>
              <w:rPr>
                <w:b/>
              </w:rPr>
            </w:pPr>
            <w:r w:rsidRPr="007107FD">
              <w:rPr>
                <w:b/>
              </w:rPr>
              <w:t>Pollutant(s) /</w:t>
            </w:r>
          </w:p>
          <w:p w14:paraId="095CF676" w14:textId="5A91DF98" w:rsidR="007107FD" w:rsidRPr="007107FD" w:rsidRDefault="007107FD" w:rsidP="007107FD">
            <w:pPr>
              <w:pStyle w:val="NoSpacing"/>
              <w:jc w:val="center"/>
            </w:pPr>
            <w:r w:rsidRPr="007107FD">
              <w:rPr>
                <w:b/>
              </w:rPr>
              <w:t>Parameter(s)</w:t>
            </w:r>
          </w:p>
        </w:tc>
        <w:tc>
          <w:tcPr>
            <w:tcW w:w="2610" w:type="dxa"/>
            <w:tcBorders>
              <w:top w:val="single" w:sz="4" w:space="0" w:color="auto"/>
              <w:bottom w:val="single" w:sz="4" w:space="0" w:color="auto"/>
            </w:tcBorders>
            <w:shd w:val="clear" w:color="auto" w:fill="D9D9D9" w:themeFill="background1" w:themeFillShade="D9"/>
            <w:vAlign w:val="center"/>
          </w:tcPr>
          <w:p w14:paraId="4E67B627" w14:textId="293BB7FE" w:rsidR="007107FD" w:rsidRPr="007107FD" w:rsidRDefault="007107FD" w:rsidP="007107FD">
            <w:pPr>
              <w:widowControl w:val="0"/>
              <w:jc w:val="center"/>
              <w:rPr>
                <w:bCs/>
              </w:rPr>
            </w:pPr>
            <w:r w:rsidRPr="007107FD">
              <w:rPr>
                <w:b/>
                <w:bCs/>
              </w:rPr>
              <w:t>Applicable Requirement(s)</w:t>
            </w:r>
          </w:p>
        </w:tc>
        <w:tc>
          <w:tcPr>
            <w:tcW w:w="2340" w:type="dxa"/>
            <w:tcBorders>
              <w:top w:val="single" w:sz="4" w:space="0" w:color="auto"/>
              <w:bottom w:val="single" w:sz="4" w:space="0" w:color="auto"/>
            </w:tcBorders>
            <w:shd w:val="clear" w:color="auto" w:fill="D9D9D9" w:themeFill="background1" w:themeFillShade="D9"/>
            <w:vAlign w:val="center"/>
          </w:tcPr>
          <w:p w14:paraId="7BC3D33A" w14:textId="730E42B8" w:rsidR="007107FD" w:rsidRPr="007107FD" w:rsidRDefault="007107FD" w:rsidP="007107FD">
            <w:pPr>
              <w:widowControl w:val="0"/>
              <w:jc w:val="center"/>
            </w:pPr>
            <w:r w:rsidRPr="007107FD">
              <w:rPr>
                <w:b/>
                <w:bCs/>
              </w:rPr>
              <w:t>Limitation(s) / Standard(s)</w:t>
            </w:r>
          </w:p>
        </w:tc>
        <w:tc>
          <w:tcPr>
            <w:tcW w:w="3150" w:type="dxa"/>
            <w:tcBorders>
              <w:top w:val="single" w:sz="4" w:space="0" w:color="auto"/>
              <w:bottom w:val="single" w:sz="4" w:space="0" w:color="auto"/>
              <w:right w:val="single" w:sz="4" w:space="0" w:color="auto"/>
            </w:tcBorders>
            <w:shd w:val="clear" w:color="auto" w:fill="D9D9D9" w:themeFill="background1" w:themeFillShade="D9"/>
            <w:vAlign w:val="center"/>
          </w:tcPr>
          <w:p w14:paraId="228B48D7" w14:textId="3E993700" w:rsidR="007107FD" w:rsidRPr="007107FD" w:rsidRDefault="007107FD" w:rsidP="007107FD">
            <w:pPr>
              <w:pStyle w:val="NoSpacing"/>
              <w:jc w:val="center"/>
            </w:pPr>
            <w:r w:rsidRPr="007107FD">
              <w:rPr>
                <w:b/>
                <w:bCs/>
              </w:rPr>
              <w:t>Monitoring Requirement(s)</w:t>
            </w:r>
          </w:p>
        </w:tc>
      </w:tr>
      <w:tr w:rsidR="007107FD" w:rsidRPr="00431D11" w14:paraId="3CDA7936" w14:textId="77777777" w:rsidTr="00153E73">
        <w:trPr>
          <w:trHeight w:val="1610"/>
          <w:jc w:val="center"/>
        </w:trPr>
        <w:tc>
          <w:tcPr>
            <w:tcW w:w="995" w:type="dxa"/>
            <w:tcBorders>
              <w:top w:val="single" w:sz="4" w:space="0" w:color="auto"/>
              <w:bottom w:val="single" w:sz="4" w:space="0" w:color="auto"/>
            </w:tcBorders>
            <w:shd w:val="clear" w:color="auto" w:fill="auto"/>
            <w:vAlign w:val="center"/>
          </w:tcPr>
          <w:p w14:paraId="7FC04991" w14:textId="2D5AB441" w:rsidR="007107FD" w:rsidRPr="007107FD" w:rsidRDefault="00153E73" w:rsidP="007107FD">
            <w:pPr>
              <w:jc w:val="center"/>
            </w:pPr>
            <w:r>
              <w:t>AA-009</w:t>
            </w:r>
          </w:p>
        </w:tc>
        <w:tc>
          <w:tcPr>
            <w:tcW w:w="1520" w:type="dxa"/>
            <w:tcBorders>
              <w:top w:val="single" w:sz="4" w:space="0" w:color="auto"/>
              <w:bottom w:val="single" w:sz="4" w:space="0" w:color="auto"/>
            </w:tcBorders>
            <w:shd w:val="clear" w:color="auto" w:fill="auto"/>
            <w:vAlign w:val="center"/>
          </w:tcPr>
          <w:p w14:paraId="0ED33E62" w14:textId="017EEAF7" w:rsidR="007107FD" w:rsidRPr="00153E73" w:rsidRDefault="00153E73" w:rsidP="007107FD">
            <w:pPr>
              <w:widowControl w:val="0"/>
              <w:jc w:val="center"/>
            </w:pPr>
            <w:r w:rsidRPr="00153E73">
              <w:t>Differential Pressure Range</w:t>
            </w:r>
          </w:p>
        </w:tc>
        <w:tc>
          <w:tcPr>
            <w:tcW w:w="2610" w:type="dxa"/>
            <w:tcBorders>
              <w:top w:val="single" w:sz="4" w:space="0" w:color="auto"/>
              <w:bottom w:val="single" w:sz="4" w:space="0" w:color="auto"/>
            </w:tcBorders>
            <w:shd w:val="clear" w:color="auto" w:fill="auto"/>
            <w:vAlign w:val="center"/>
          </w:tcPr>
          <w:p w14:paraId="590CEF12" w14:textId="285FBA25" w:rsidR="007107FD" w:rsidRPr="007107FD" w:rsidRDefault="00153E73" w:rsidP="007107FD">
            <w:pPr>
              <w:widowControl w:val="0"/>
              <w:jc w:val="center"/>
              <w:rPr>
                <w:b/>
                <w:bCs/>
              </w:rPr>
            </w:pPr>
            <w:r>
              <w:rPr>
                <w:bCs/>
              </w:rPr>
              <w:t>11 Miss. Admin. Code Pt. 2, Ch. 5., as established in the PSD Permit to Construct issued</w:t>
            </w:r>
            <w:r w:rsidRPr="00891259">
              <w:rPr>
                <w:bCs/>
              </w:rPr>
              <w:t xml:space="preserve"> March</w:t>
            </w:r>
            <w:r>
              <w:rPr>
                <w:bCs/>
              </w:rPr>
              <w:t xml:space="preserve"> 28, 2016 and m</w:t>
            </w:r>
            <w:r w:rsidRPr="00891259">
              <w:rPr>
                <w:bCs/>
              </w:rPr>
              <w:t>odified on November 7, 2018</w:t>
            </w:r>
          </w:p>
        </w:tc>
        <w:tc>
          <w:tcPr>
            <w:tcW w:w="2340" w:type="dxa"/>
            <w:tcBorders>
              <w:top w:val="single" w:sz="4" w:space="0" w:color="auto"/>
              <w:bottom w:val="single" w:sz="4" w:space="0" w:color="auto"/>
            </w:tcBorders>
            <w:shd w:val="clear" w:color="auto" w:fill="auto"/>
            <w:vAlign w:val="center"/>
          </w:tcPr>
          <w:p w14:paraId="7E313338" w14:textId="77777777" w:rsidR="00153E73" w:rsidRDefault="00153E73" w:rsidP="00153E73">
            <w:pPr>
              <w:widowControl w:val="0"/>
              <w:jc w:val="center"/>
            </w:pPr>
            <w:r w:rsidRPr="007F6B3F">
              <w:t xml:space="preserve">0.2 ≤ </w:t>
            </w:r>
            <w:r w:rsidRPr="007F6B3F">
              <w:rPr>
                <w:bCs/>
              </w:rPr>
              <w:t>∆</w:t>
            </w:r>
            <w:r>
              <w:t>P ≤ 6.0</w:t>
            </w:r>
          </w:p>
          <w:p w14:paraId="603C6B97" w14:textId="7378D931" w:rsidR="007107FD" w:rsidRPr="00153E73" w:rsidRDefault="00153E73" w:rsidP="00153E73">
            <w:pPr>
              <w:widowControl w:val="0"/>
              <w:jc w:val="center"/>
            </w:pPr>
            <w:r w:rsidRPr="007F6B3F">
              <w:t>(inches H</w:t>
            </w:r>
            <w:r w:rsidRPr="007F6B3F">
              <w:rPr>
                <w:vertAlign w:val="subscript"/>
              </w:rPr>
              <w:t>2</w:t>
            </w:r>
            <w:r w:rsidRPr="007F6B3F">
              <w:t>O)</w:t>
            </w:r>
          </w:p>
        </w:tc>
        <w:tc>
          <w:tcPr>
            <w:tcW w:w="3150" w:type="dxa"/>
            <w:tcBorders>
              <w:top w:val="single" w:sz="4" w:space="0" w:color="auto"/>
              <w:bottom w:val="single" w:sz="4" w:space="0" w:color="auto"/>
              <w:right w:val="single" w:sz="4" w:space="0" w:color="auto"/>
            </w:tcBorders>
            <w:shd w:val="clear" w:color="auto" w:fill="auto"/>
            <w:vAlign w:val="center"/>
          </w:tcPr>
          <w:p w14:paraId="08F868D5" w14:textId="46F0D8B5" w:rsidR="007107FD" w:rsidRPr="00153E73" w:rsidRDefault="00153E73" w:rsidP="007107FD">
            <w:pPr>
              <w:pStyle w:val="NoSpacing"/>
              <w:jc w:val="center"/>
              <w:rPr>
                <w:bCs/>
              </w:rPr>
            </w:pPr>
            <w:r w:rsidRPr="00153E73">
              <w:rPr>
                <w:bCs/>
              </w:rPr>
              <w:t>The facility will monitor the differential pressure drop daily.</w:t>
            </w:r>
          </w:p>
        </w:tc>
      </w:tr>
      <w:tr w:rsidR="00153E73" w:rsidRPr="00431D11" w14:paraId="6D0AA44D" w14:textId="77777777" w:rsidTr="00153E73">
        <w:trPr>
          <w:trHeight w:val="1970"/>
          <w:jc w:val="center"/>
        </w:trPr>
        <w:tc>
          <w:tcPr>
            <w:tcW w:w="995" w:type="dxa"/>
            <w:tcBorders>
              <w:top w:val="single" w:sz="4" w:space="0" w:color="auto"/>
              <w:bottom w:val="single" w:sz="4" w:space="0" w:color="auto"/>
            </w:tcBorders>
            <w:shd w:val="clear" w:color="auto" w:fill="auto"/>
            <w:vAlign w:val="center"/>
          </w:tcPr>
          <w:p w14:paraId="204A96A1" w14:textId="16E96E87" w:rsidR="00153E73" w:rsidRPr="007107FD" w:rsidRDefault="00153E73" w:rsidP="007107FD">
            <w:pPr>
              <w:jc w:val="center"/>
            </w:pPr>
            <w:r>
              <w:t>AA-012</w:t>
            </w:r>
          </w:p>
        </w:tc>
        <w:tc>
          <w:tcPr>
            <w:tcW w:w="1520" w:type="dxa"/>
            <w:tcBorders>
              <w:top w:val="single" w:sz="4" w:space="0" w:color="auto"/>
              <w:bottom w:val="single" w:sz="4" w:space="0" w:color="auto"/>
            </w:tcBorders>
            <w:shd w:val="clear" w:color="auto" w:fill="auto"/>
            <w:vAlign w:val="center"/>
          </w:tcPr>
          <w:p w14:paraId="688174E1" w14:textId="122451BF" w:rsidR="00153E73" w:rsidRPr="00153E73" w:rsidRDefault="00153E73" w:rsidP="007107FD">
            <w:pPr>
              <w:widowControl w:val="0"/>
              <w:jc w:val="center"/>
            </w:pPr>
            <w:r>
              <w:t>VOCs</w:t>
            </w:r>
          </w:p>
        </w:tc>
        <w:tc>
          <w:tcPr>
            <w:tcW w:w="2610" w:type="dxa"/>
            <w:tcBorders>
              <w:top w:val="single" w:sz="4" w:space="0" w:color="auto"/>
              <w:bottom w:val="single" w:sz="4" w:space="0" w:color="auto"/>
            </w:tcBorders>
            <w:shd w:val="clear" w:color="auto" w:fill="auto"/>
            <w:vAlign w:val="center"/>
          </w:tcPr>
          <w:p w14:paraId="6285FAA2" w14:textId="77777777" w:rsidR="00153E73" w:rsidRPr="00153E73" w:rsidRDefault="00153E73" w:rsidP="00153E73">
            <w:pPr>
              <w:widowControl w:val="0"/>
              <w:jc w:val="center"/>
              <w:rPr>
                <w:bCs/>
              </w:rPr>
            </w:pPr>
            <w:r w:rsidRPr="00153E73">
              <w:rPr>
                <w:bCs/>
              </w:rPr>
              <w:t>11 Miss. Admin. Code Pt. 2, Ch. 5 and 40 CFR 52.21(j), as established in the PSD Permit to Construct issued March 28, 2016 and modified on November 7, 2018</w:t>
            </w:r>
          </w:p>
          <w:p w14:paraId="48ECF3BE" w14:textId="77777777" w:rsidR="00153E73" w:rsidRPr="00153E73" w:rsidRDefault="00153E73" w:rsidP="00153E73">
            <w:pPr>
              <w:widowControl w:val="0"/>
              <w:rPr>
                <w:bCs/>
                <w:sz w:val="10"/>
                <w:szCs w:val="10"/>
              </w:rPr>
            </w:pPr>
          </w:p>
          <w:p w14:paraId="496DC623" w14:textId="454F8BA0" w:rsidR="00153E73" w:rsidRDefault="00153E73" w:rsidP="00153E73">
            <w:pPr>
              <w:widowControl w:val="0"/>
              <w:jc w:val="center"/>
              <w:rPr>
                <w:bCs/>
              </w:rPr>
            </w:pPr>
            <w:r w:rsidRPr="00153E73">
              <w:rPr>
                <w:b/>
                <w:bCs/>
              </w:rPr>
              <w:t>(PSD BACT Limit)</w:t>
            </w:r>
          </w:p>
        </w:tc>
        <w:tc>
          <w:tcPr>
            <w:tcW w:w="2340" w:type="dxa"/>
            <w:tcBorders>
              <w:top w:val="single" w:sz="4" w:space="0" w:color="auto"/>
              <w:bottom w:val="single" w:sz="4" w:space="0" w:color="auto"/>
            </w:tcBorders>
            <w:shd w:val="clear" w:color="auto" w:fill="auto"/>
            <w:vAlign w:val="center"/>
          </w:tcPr>
          <w:p w14:paraId="135703DC" w14:textId="2E480195" w:rsidR="00153E73" w:rsidRPr="007F6B3F" w:rsidRDefault="00153E73" w:rsidP="00153E73">
            <w:pPr>
              <w:widowControl w:val="0"/>
              <w:jc w:val="center"/>
            </w:pPr>
            <w:r w:rsidRPr="00153E73">
              <w:t>Apply Coating Described as “</w:t>
            </w:r>
            <w:r w:rsidRPr="00153E73">
              <w:rPr>
                <w:i/>
              </w:rPr>
              <w:t>Light</w:t>
            </w:r>
            <w:r w:rsidRPr="00153E73">
              <w:t>” or “</w:t>
            </w:r>
            <w:r w:rsidRPr="00153E73">
              <w:rPr>
                <w:i/>
              </w:rPr>
              <w:t>White</w:t>
            </w:r>
            <w:r w:rsidRPr="00153E73">
              <w:t>”</w:t>
            </w:r>
          </w:p>
        </w:tc>
        <w:tc>
          <w:tcPr>
            <w:tcW w:w="3150" w:type="dxa"/>
            <w:tcBorders>
              <w:top w:val="single" w:sz="4" w:space="0" w:color="auto"/>
              <w:bottom w:val="single" w:sz="4" w:space="0" w:color="auto"/>
              <w:right w:val="single" w:sz="4" w:space="0" w:color="auto"/>
            </w:tcBorders>
            <w:shd w:val="clear" w:color="auto" w:fill="auto"/>
            <w:vAlign w:val="center"/>
          </w:tcPr>
          <w:p w14:paraId="0C3BCBEB" w14:textId="64567D61" w:rsidR="00153E73" w:rsidRPr="00153E73" w:rsidRDefault="00153E73" w:rsidP="00153E73">
            <w:pPr>
              <w:pStyle w:val="NoSpacing"/>
              <w:jc w:val="center"/>
              <w:rPr>
                <w:bCs/>
              </w:rPr>
            </w:pPr>
            <w:r>
              <w:rPr>
                <w:bCs/>
              </w:rPr>
              <w:t>The facility will m</w:t>
            </w:r>
            <w:r w:rsidRPr="00153E73">
              <w:rPr>
                <w:bCs/>
              </w:rPr>
              <w:t xml:space="preserve">aintain </w:t>
            </w:r>
            <w:r>
              <w:rPr>
                <w:bCs/>
              </w:rPr>
              <w:t>d</w:t>
            </w:r>
            <w:r w:rsidRPr="00153E73">
              <w:rPr>
                <w:bCs/>
              </w:rPr>
              <w:t xml:space="preserve">ocumentation that </w:t>
            </w:r>
            <w:r>
              <w:rPr>
                <w:bCs/>
              </w:rPr>
              <w:t>i</w:t>
            </w:r>
            <w:r w:rsidRPr="00153E73">
              <w:rPr>
                <w:bCs/>
              </w:rPr>
              <w:t xml:space="preserve">ndicates </w:t>
            </w:r>
            <w:r>
              <w:rPr>
                <w:bCs/>
              </w:rPr>
              <w:t>the s</w:t>
            </w:r>
            <w:r w:rsidRPr="00153E73">
              <w:rPr>
                <w:bCs/>
              </w:rPr>
              <w:t xml:space="preserve">urface </w:t>
            </w:r>
            <w:r>
              <w:rPr>
                <w:bCs/>
              </w:rPr>
              <w:t>c</w:t>
            </w:r>
            <w:r w:rsidRPr="00153E73">
              <w:rPr>
                <w:bCs/>
              </w:rPr>
              <w:t xml:space="preserve">oating </w:t>
            </w:r>
            <w:r>
              <w:rPr>
                <w:bCs/>
              </w:rPr>
              <w:t>c</w:t>
            </w:r>
            <w:r w:rsidRPr="00153E73">
              <w:rPr>
                <w:bCs/>
              </w:rPr>
              <w:t>olor</w:t>
            </w:r>
            <w:r>
              <w:rPr>
                <w:bCs/>
              </w:rPr>
              <w:t xml:space="preserve"> used.</w:t>
            </w:r>
          </w:p>
        </w:tc>
      </w:tr>
      <w:tr w:rsidR="0025062C" w:rsidRPr="00431D11" w14:paraId="1DAAFD27" w14:textId="77777777" w:rsidTr="0012271A">
        <w:trPr>
          <w:trHeight w:val="1160"/>
          <w:jc w:val="center"/>
        </w:trPr>
        <w:tc>
          <w:tcPr>
            <w:tcW w:w="995" w:type="dxa"/>
            <w:vMerge w:val="restart"/>
            <w:tcBorders>
              <w:top w:val="single" w:sz="4" w:space="0" w:color="auto"/>
            </w:tcBorders>
            <w:shd w:val="clear" w:color="auto" w:fill="auto"/>
            <w:vAlign w:val="center"/>
          </w:tcPr>
          <w:p w14:paraId="5B6DE14B" w14:textId="6FD5A4FA" w:rsidR="0025062C" w:rsidRDefault="0025062C" w:rsidP="0025062C">
            <w:pPr>
              <w:jc w:val="center"/>
            </w:pPr>
            <w:r>
              <w:t>AA-014</w:t>
            </w:r>
          </w:p>
        </w:tc>
        <w:tc>
          <w:tcPr>
            <w:tcW w:w="1520" w:type="dxa"/>
            <w:shd w:val="clear" w:color="auto" w:fill="auto"/>
            <w:vAlign w:val="center"/>
          </w:tcPr>
          <w:p w14:paraId="215F0D99" w14:textId="77777777" w:rsidR="0025062C" w:rsidRPr="0025062C" w:rsidRDefault="0025062C" w:rsidP="0025062C">
            <w:pPr>
              <w:jc w:val="center"/>
            </w:pPr>
            <w:r w:rsidRPr="0025062C">
              <w:t>PM</w:t>
            </w:r>
          </w:p>
          <w:p w14:paraId="2168CF84" w14:textId="5699600D" w:rsidR="0025062C" w:rsidRPr="00153E73" w:rsidRDefault="0025062C" w:rsidP="0025062C">
            <w:pPr>
              <w:jc w:val="center"/>
            </w:pPr>
            <w:r w:rsidRPr="0025062C">
              <w:t>(filterable only)</w:t>
            </w:r>
          </w:p>
        </w:tc>
        <w:tc>
          <w:tcPr>
            <w:tcW w:w="2610" w:type="dxa"/>
            <w:tcBorders>
              <w:top w:val="single" w:sz="4" w:space="0" w:color="auto"/>
              <w:left w:val="single" w:sz="4" w:space="0" w:color="auto"/>
              <w:bottom w:val="single" w:sz="4" w:space="0" w:color="auto"/>
              <w:right w:val="single" w:sz="4" w:space="0" w:color="auto"/>
            </w:tcBorders>
            <w:vAlign w:val="center"/>
          </w:tcPr>
          <w:p w14:paraId="4CEDC98D" w14:textId="450BC364" w:rsidR="0025062C" w:rsidRPr="007F54C5" w:rsidRDefault="0025062C" w:rsidP="0025062C">
            <w:pPr>
              <w:widowControl w:val="0"/>
              <w:jc w:val="center"/>
              <w:rPr>
                <w:bCs/>
              </w:rPr>
            </w:pPr>
            <w:r w:rsidRPr="007F54C5">
              <w:rPr>
                <w:bCs/>
              </w:rPr>
              <w:t xml:space="preserve">11 Miss. Admin. Code Pt. 2, R. </w:t>
            </w:r>
            <w:proofErr w:type="gramStart"/>
            <w:r w:rsidRPr="007F54C5">
              <w:rPr>
                <w:bCs/>
              </w:rPr>
              <w:t>1.3.D.1(</w:t>
            </w:r>
            <w:proofErr w:type="gramEnd"/>
            <w:r w:rsidRPr="007F54C5">
              <w:rPr>
                <w:bCs/>
              </w:rPr>
              <w:t>a).</w:t>
            </w:r>
          </w:p>
        </w:tc>
        <w:tc>
          <w:tcPr>
            <w:tcW w:w="2340" w:type="dxa"/>
            <w:shd w:val="clear" w:color="auto" w:fill="auto"/>
            <w:vAlign w:val="center"/>
          </w:tcPr>
          <w:p w14:paraId="595A14D1" w14:textId="18931EDF" w:rsidR="0025062C" w:rsidRDefault="0025062C" w:rsidP="0025062C">
            <w:pPr>
              <w:widowControl w:val="0"/>
              <w:jc w:val="center"/>
            </w:pPr>
            <w:r w:rsidRPr="0025062C">
              <w:t>0.6 Pounds Per MMBTU / Hour Heat Input</w:t>
            </w:r>
          </w:p>
        </w:tc>
        <w:tc>
          <w:tcPr>
            <w:tcW w:w="3150" w:type="dxa"/>
            <w:shd w:val="clear" w:color="auto" w:fill="auto"/>
            <w:vAlign w:val="center"/>
          </w:tcPr>
          <w:p w14:paraId="6FDD73A9" w14:textId="00A14BDC" w:rsidR="0025062C" w:rsidRPr="00DA458D" w:rsidRDefault="0025062C" w:rsidP="0025062C">
            <w:pPr>
              <w:pStyle w:val="NoSpacing"/>
              <w:jc w:val="center"/>
            </w:pPr>
            <w:r>
              <w:rPr>
                <w:bCs/>
              </w:rPr>
              <w:t xml:space="preserve">Given that this </w:t>
            </w:r>
            <w:r w:rsidRPr="0025062C">
              <w:rPr>
                <w:bCs/>
              </w:rPr>
              <w:t>combust</w:t>
            </w:r>
            <w:r>
              <w:rPr>
                <w:bCs/>
              </w:rPr>
              <w:t>s</w:t>
            </w:r>
            <w:r w:rsidRPr="0025062C">
              <w:rPr>
                <w:bCs/>
              </w:rPr>
              <w:t xml:space="preserve"> pipeline-grade natural gas, the margin of compliance for this standard should be significant.</w:t>
            </w:r>
          </w:p>
        </w:tc>
      </w:tr>
      <w:tr w:rsidR="0025062C" w:rsidRPr="00431D11" w14:paraId="447482B9" w14:textId="77777777" w:rsidTr="0012271A">
        <w:trPr>
          <w:trHeight w:val="1160"/>
          <w:jc w:val="center"/>
        </w:trPr>
        <w:tc>
          <w:tcPr>
            <w:tcW w:w="995" w:type="dxa"/>
            <w:vMerge/>
            <w:shd w:val="clear" w:color="auto" w:fill="auto"/>
            <w:vAlign w:val="center"/>
          </w:tcPr>
          <w:p w14:paraId="7D60789F" w14:textId="5528A4D5" w:rsidR="0025062C" w:rsidRDefault="0025062C" w:rsidP="0025062C">
            <w:pPr>
              <w:jc w:val="center"/>
            </w:pPr>
          </w:p>
        </w:tc>
        <w:tc>
          <w:tcPr>
            <w:tcW w:w="1520" w:type="dxa"/>
            <w:shd w:val="clear" w:color="auto" w:fill="auto"/>
            <w:vAlign w:val="center"/>
          </w:tcPr>
          <w:p w14:paraId="6661B054" w14:textId="77777777" w:rsidR="0025062C" w:rsidRPr="00153E73" w:rsidRDefault="0025062C" w:rsidP="0025062C">
            <w:pPr>
              <w:jc w:val="center"/>
            </w:pPr>
            <w:r w:rsidRPr="00153E73">
              <w:t>NO</w:t>
            </w:r>
            <w:r w:rsidRPr="00153E73">
              <w:rPr>
                <w:vertAlign w:val="subscript"/>
              </w:rPr>
              <w:t>X</w:t>
            </w:r>
            <w:r w:rsidRPr="00153E73">
              <w:t xml:space="preserve"> + HC</w:t>
            </w:r>
          </w:p>
          <w:p w14:paraId="4CB67748" w14:textId="77777777" w:rsidR="0025062C" w:rsidRPr="00153E73" w:rsidRDefault="0025062C" w:rsidP="0025062C">
            <w:pPr>
              <w:jc w:val="center"/>
              <w:rPr>
                <w:sz w:val="10"/>
                <w:szCs w:val="10"/>
              </w:rPr>
            </w:pPr>
          </w:p>
          <w:p w14:paraId="790074F4" w14:textId="0F0AED29" w:rsidR="0025062C" w:rsidRDefault="0025062C" w:rsidP="0025062C">
            <w:pPr>
              <w:widowControl w:val="0"/>
              <w:jc w:val="center"/>
            </w:pPr>
            <w:r w:rsidRPr="00153E73">
              <w:t>CO</w:t>
            </w:r>
          </w:p>
        </w:tc>
        <w:tc>
          <w:tcPr>
            <w:tcW w:w="2610" w:type="dxa"/>
            <w:shd w:val="clear" w:color="auto" w:fill="auto"/>
            <w:vAlign w:val="center"/>
          </w:tcPr>
          <w:p w14:paraId="2193A4F6" w14:textId="2C51121C" w:rsidR="0025062C" w:rsidRPr="00153E73" w:rsidRDefault="0025062C" w:rsidP="0025062C">
            <w:pPr>
              <w:widowControl w:val="0"/>
              <w:jc w:val="center"/>
              <w:rPr>
                <w:bCs/>
              </w:rPr>
            </w:pPr>
            <w:r w:rsidRPr="007F54C5">
              <w:rPr>
                <w:bCs/>
              </w:rPr>
              <w:t>40 CFR 60.4233(</w:t>
            </w:r>
            <w:r>
              <w:rPr>
                <w:bCs/>
              </w:rPr>
              <w:t>d</w:t>
            </w:r>
            <w:r w:rsidRPr="007F54C5">
              <w:rPr>
                <w:bCs/>
              </w:rPr>
              <w:t>) and 60.4234; Subpart JJJJ – Table 1</w:t>
            </w:r>
          </w:p>
        </w:tc>
        <w:tc>
          <w:tcPr>
            <w:tcW w:w="2340" w:type="dxa"/>
            <w:shd w:val="clear" w:color="auto" w:fill="auto"/>
            <w:vAlign w:val="center"/>
          </w:tcPr>
          <w:p w14:paraId="382C2FA2" w14:textId="5A7EB641" w:rsidR="0025062C" w:rsidRPr="00153E73" w:rsidRDefault="0025062C" w:rsidP="0025062C">
            <w:pPr>
              <w:widowControl w:val="0"/>
              <w:jc w:val="center"/>
            </w:pPr>
            <w:r>
              <w:t>Applicable Emission Standards</w:t>
            </w:r>
          </w:p>
        </w:tc>
        <w:tc>
          <w:tcPr>
            <w:tcW w:w="3150" w:type="dxa"/>
            <w:shd w:val="clear" w:color="auto" w:fill="auto"/>
            <w:vAlign w:val="center"/>
          </w:tcPr>
          <w:p w14:paraId="122C3185" w14:textId="1A1B9963" w:rsidR="0025062C" w:rsidRDefault="0025062C" w:rsidP="0025062C">
            <w:pPr>
              <w:pStyle w:val="NoSpacing"/>
              <w:jc w:val="center"/>
              <w:rPr>
                <w:bCs/>
              </w:rPr>
            </w:pPr>
            <w:r w:rsidRPr="00DA458D">
              <w:t xml:space="preserve">The </w:t>
            </w:r>
            <w:r>
              <w:t>facility wil</w:t>
            </w:r>
            <w:r w:rsidRPr="00DA458D">
              <w:t>l maintain documentation that certifies each engine complies with applicable emission standards.</w:t>
            </w:r>
          </w:p>
        </w:tc>
      </w:tr>
      <w:tr w:rsidR="0025062C" w:rsidRPr="00431D11" w14:paraId="02362376" w14:textId="77777777" w:rsidTr="0025062C">
        <w:trPr>
          <w:trHeight w:val="1160"/>
          <w:jc w:val="center"/>
        </w:trPr>
        <w:tc>
          <w:tcPr>
            <w:tcW w:w="995" w:type="dxa"/>
            <w:vMerge/>
            <w:shd w:val="clear" w:color="auto" w:fill="auto"/>
            <w:vAlign w:val="center"/>
          </w:tcPr>
          <w:p w14:paraId="22A228FB" w14:textId="6C5B1118" w:rsidR="0025062C" w:rsidRDefault="0025062C" w:rsidP="0025062C">
            <w:pPr>
              <w:jc w:val="center"/>
            </w:pPr>
          </w:p>
        </w:tc>
        <w:tc>
          <w:tcPr>
            <w:tcW w:w="1520" w:type="dxa"/>
            <w:shd w:val="clear" w:color="auto" w:fill="auto"/>
            <w:vAlign w:val="center"/>
          </w:tcPr>
          <w:p w14:paraId="420AD836" w14:textId="5907C4F4" w:rsidR="0025062C" w:rsidRDefault="0025062C" w:rsidP="0025062C">
            <w:pPr>
              <w:widowControl w:val="0"/>
              <w:jc w:val="center"/>
            </w:pPr>
            <w:r>
              <w:t>Propane Gas Usage</w:t>
            </w:r>
          </w:p>
        </w:tc>
        <w:tc>
          <w:tcPr>
            <w:tcW w:w="2610" w:type="dxa"/>
            <w:shd w:val="clear" w:color="auto" w:fill="auto"/>
            <w:vAlign w:val="center"/>
          </w:tcPr>
          <w:p w14:paraId="35155DD8" w14:textId="05DE1792" w:rsidR="0025062C" w:rsidRPr="00153E73" w:rsidRDefault="0025062C" w:rsidP="0025062C">
            <w:pPr>
              <w:widowControl w:val="0"/>
              <w:jc w:val="center"/>
              <w:rPr>
                <w:bCs/>
              </w:rPr>
            </w:pPr>
            <w:r w:rsidRPr="008B3630">
              <w:t>40 CFR 60.4243(e); Subpart JJJJ</w:t>
            </w:r>
          </w:p>
        </w:tc>
        <w:tc>
          <w:tcPr>
            <w:tcW w:w="2340" w:type="dxa"/>
            <w:shd w:val="clear" w:color="auto" w:fill="auto"/>
            <w:vAlign w:val="center"/>
          </w:tcPr>
          <w:p w14:paraId="0FBDF339" w14:textId="343AF343" w:rsidR="0025062C" w:rsidRPr="00153E73" w:rsidRDefault="0025062C" w:rsidP="0025062C">
            <w:pPr>
              <w:widowControl w:val="0"/>
              <w:jc w:val="center"/>
            </w:pPr>
            <w:r w:rsidRPr="008927D7">
              <w:t>100 Hours / Calendar Year (for Each Engine)</w:t>
            </w:r>
          </w:p>
        </w:tc>
        <w:tc>
          <w:tcPr>
            <w:tcW w:w="3150" w:type="dxa"/>
            <w:shd w:val="clear" w:color="auto" w:fill="auto"/>
            <w:vAlign w:val="center"/>
          </w:tcPr>
          <w:p w14:paraId="05289DB0" w14:textId="64DC0A16" w:rsidR="0025062C" w:rsidRDefault="0025062C" w:rsidP="0025062C">
            <w:pPr>
              <w:pStyle w:val="NoSpacing"/>
              <w:jc w:val="center"/>
              <w:rPr>
                <w:bCs/>
              </w:rPr>
            </w:pPr>
            <w:r>
              <w:t xml:space="preserve">The </w:t>
            </w:r>
            <w:r w:rsidR="00DC4C3C">
              <w:t>facility will</w:t>
            </w:r>
            <w:r>
              <w:t xml:space="preserve"> monitor and record the hours in which an engine combusts propane as the primary fuel source.</w:t>
            </w:r>
          </w:p>
        </w:tc>
      </w:tr>
      <w:tr w:rsidR="0025062C" w:rsidRPr="00431D11" w14:paraId="51A465E2" w14:textId="77777777" w:rsidTr="0025062C">
        <w:trPr>
          <w:trHeight w:val="1160"/>
          <w:jc w:val="center"/>
        </w:trPr>
        <w:tc>
          <w:tcPr>
            <w:tcW w:w="995" w:type="dxa"/>
            <w:vMerge/>
            <w:tcBorders>
              <w:bottom w:val="single" w:sz="4" w:space="0" w:color="auto"/>
            </w:tcBorders>
            <w:shd w:val="clear" w:color="auto" w:fill="auto"/>
            <w:vAlign w:val="center"/>
          </w:tcPr>
          <w:p w14:paraId="6F244596" w14:textId="71CB3283" w:rsidR="0025062C" w:rsidRDefault="0025062C" w:rsidP="0025062C">
            <w:pPr>
              <w:jc w:val="center"/>
            </w:pPr>
          </w:p>
        </w:tc>
        <w:tc>
          <w:tcPr>
            <w:tcW w:w="1520" w:type="dxa"/>
            <w:tcBorders>
              <w:top w:val="single" w:sz="4" w:space="0" w:color="auto"/>
            </w:tcBorders>
            <w:shd w:val="clear" w:color="auto" w:fill="auto"/>
            <w:vAlign w:val="center"/>
          </w:tcPr>
          <w:p w14:paraId="5D8E8FE4" w14:textId="42C504A2" w:rsidR="0025062C" w:rsidRDefault="0025062C" w:rsidP="0025062C">
            <w:pPr>
              <w:widowControl w:val="0"/>
              <w:jc w:val="center"/>
            </w:pPr>
            <w:r w:rsidRPr="00153E73">
              <w:t>Non-Emergency Operation</w:t>
            </w:r>
          </w:p>
        </w:tc>
        <w:tc>
          <w:tcPr>
            <w:tcW w:w="2610" w:type="dxa"/>
            <w:tcBorders>
              <w:top w:val="single" w:sz="4" w:space="0" w:color="auto"/>
            </w:tcBorders>
            <w:shd w:val="clear" w:color="auto" w:fill="auto"/>
            <w:vAlign w:val="center"/>
          </w:tcPr>
          <w:p w14:paraId="4132F62B" w14:textId="3B8EFCBC" w:rsidR="0025062C" w:rsidRPr="00153E73" w:rsidRDefault="0025062C" w:rsidP="0025062C">
            <w:pPr>
              <w:widowControl w:val="0"/>
              <w:jc w:val="center"/>
              <w:rPr>
                <w:bCs/>
              </w:rPr>
            </w:pPr>
            <w:r w:rsidRPr="00153E73">
              <w:rPr>
                <w:bCs/>
              </w:rPr>
              <w:t>40 CFR 60.4243(d)(1 – 3); Subpart JJJJ</w:t>
            </w:r>
          </w:p>
        </w:tc>
        <w:tc>
          <w:tcPr>
            <w:tcW w:w="2340" w:type="dxa"/>
            <w:tcBorders>
              <w:top w:val="single" w:sz="4" w:space="0" w:color="auto"/>
            </w:tcBorders>
            <w:shd w:val="clear" w:color="auto" w:fill="auto"/>
            <w:vAlign w:val="center"/>
          </w:tcPr>
          <w:p w14:paraId="5B1AAF61" w14:textId="00DDCDD1" w:rsidR="0025062C" w:rsidRPr="00153E73" w:rsidRDefault="0025062C" w:rsidP="0025062C">
            <w:pPr>
              <w:widowControl w:val="0"/>
              <w:jc w:val="center"/>
            </w:pPr>
            <w:r w:rsidRPr="00153E73">
              <w:t>100 Hours / Calendar Year</w:t>
            </w:r>
          </w:p>
        </w:tc>
        <w:tc>
          <w:tcPr>
            <w:tcW w:w="3150" w:type="dxa"/>
            <w:tcBorders>
              <w:top w:val="single" w:sz="4" w:space="0" w:color="auto"/>
              <w:right w:val="single" w:sz="4" w:space="0" w:color="auto"/>
            </w:tcBorders>
            <w:shd w:val="clear" w:color="auto" w:fill="auto"/>
            <w:vAlign w:val="center"/>
          </w:tcPr>
          <w:p w14:paraId="29C6FB53" w14:textId="59A24F32" w:rsidR="0025062C" w:rsidRDefault="0025062C" w:rsidP="0025062C">
            <w:pPr>
              <w:pStyle w:val="NoSpacing"/>
              <w:jc w:val="center"/>
              <w:rPr>
                <w:bCs/>
              </w:rPr>
            </w:pPr>
            <w:r w:rsidRPr="00153E73">
              <w:rPr>
                <w:bCs/>
              </w:rPr>
              <w:t>The facility shall record hours of operation (denoting emergency and non-emergency situations).</w:t>
            </w:r>
          </w:p>
        </w:tc>
      </w:tr>
    </w:tbl>
    <w:p w14:paraId="3B3C2A67" w14:textId="7CC87434" w:rsidR="0048090B" w:rsidRPr="006F0510" w:rsidRDefault="0048090B" w:rsidP="00104CE2">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jc w:val="both"/>
        <w:rPr>
          <w:color w:val="4F81BD" w:themeColor="accent1"/>
          <w:sz w:val="24"/>
          <w:szCs w:val="24"/>
        </w:rPr>
      </w:pPr>
    </w:p>
    <w:p w14:paraId="3B3C2A68" w14:textId="77777777" w:rsidR="00BA3BCF" w:rsidRDefault="00BA3BCF" w:rsidP="00104CE2">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jc w:val="both"/>
        <w:rPr>
          <w:sz w:val="24"/>
          <w:szCs w:val="24"/>
        </w:rPr>
      </w:pPr>
    </w:p>
    <w:p w14:paraId="3B3C2A69" w14:textId="77777777" w:rsidR="00BA3BCF" w:rsidRPr="00BA3BCF" w:rsidRDefault="00BA3BCF" w:rsidP="00BA3BCF">
      <w:pPr>
        <w:tabs>
          <w:tab w:val="left" w:pos="-1123"/>
          <w:tab w:val="left" w:pos="-720"/>
          <w:tab w:val="left" w:pos="0"/>
          <w:tab w:val="left" w:pos="720"/>
          <w:tab w:val="left" w:pos="1440"/>
          <w:tab w:val="left" w:pos="2160"/>
          <w:tab w:val="left" w:pos="2880"/>
          <w:tab w:val="left" w:pos="3600"/>
          <w:tab w:val="left" w:pos="4320"/>
          <w:tab w:val="left" w:pos="5040"/>
          <w:tab w:val="left" w:pos="5760"/>
          <w:tab w:val="left" w:pos="6480"/>
          <w:tab w:val="left" w:pos="7110"/>
          <w:tab w:val="left" w:pos="8010"/>
          <w:tab w:val="left" w:pos="8640"/>
          <w:tab w:val="left" w:pos="9360"/>
          <w:tab w:val="left" w:pos="10080"/>
          <w:tab w:val="left" w:pos="10800"/>
          <w:tab w:val="left" w:pos="11520"/>
        </w:tabs>
        <w:jc w:val="both"/>
        <w:rPr>
          <w:sz w:val="32"/>
          <w:szCs w:val="24"/>
        </w:rPr>
      </w:pPr>
    </w:p>
    <w:sectPr w:rsidR="00BA3BCF" w:rsidRPr="00BA3BCF" w:rsidSect="00421490">
      <w:headerReference w:type="default" r:id="rId7"/>
      <w:footerReference w:type="default" r:id="rId8"/>
      <w:pgSz w:w="12240" w:h="15840" w:code="1"/>
      <w:pgMar w:top="1440" w:right="1440" w:bottom="1440" w:left="1440"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2F941" w14:textId="77777777" w:rsidR="002A7C97" w:rsidRDefault="002A7C97">
      <w:r>
        <w:separator/>
      </w:r>
    </w:p>
  </w:endnote>
  <w:endnote w:type="continuationSeparator" w:id="0">
    <w:p w14:paraId="6F5A6547" w14:textId="77777777" w:rsidR="002A7C97" w:rsidRDefault="002A7C97">
      <w:r>
        <w:continuationSeparator/>
      </w:r>
    </w:p>
  </w:endnote>
  <w:endnote w:type="continuationNotice" w:id="1">
    <w:p w14:paraId="797D1847" w14:textId="77777777" w:rsidR="002A7C97" w:rsidRDefault="002A7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2A71" w14:textId="76D4FE6C" w:rsidR="007253AC" w:rsidRPr="0068524D" w:rsidRDefault="007253AC">
    <w:pPr>
      <w:pStyle w:val="Footer"/>
      <w:tabs>
        <w:tab w:val="clear" w:pos="8640"/>
        <w:tab w:val="right" w:pos="9270"/>
      </w:tabs>
    </w:pPr>
    <w:proofErr w:type="gramStart"/>
    <w:r w:rsidRPr="0068524D">
      <w:t>68907  PER20200001</w:t>
    </w:r>
    <w:proofErr w:type="gramEnd"/>
    <w:r w:rsidRPr="0068524D">
      <w:tab/>
    </w:r>
    <w:r w:rsidRPr="0068524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516B8" w14:textId="77777777" w:rsidR="002A7C97" w:rsidRDefault="002A7C97">
      <w:r>
        <w:separator/>
      </w:r>
    </w:p>
  </w:footnote>
  <w:footnote w:type="continuationSeparator" w:id="0">
    <w:p w14:paraId="7505A53A" w14:textId="77777777" w:rsidR="002A7C97" w:rsidRDefault="002A7C97">
      <w:r>
        <w:continuationSeparator/>
      </w:r>
    </w:p>
  </w:footnote>
  <w:footnote w:type="continuationNotice" w:id="1">
    <w:p w14:paraId="50BD91C4" w14:textId="77777777" w:rsidR="002A7C97" w:rsidRDefault="002A7C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2A6E" w14:textId="77777777" w:rsidR="007253AC" w:rsidRPr="00BC4760" w:rsidRDefault="007253AC">
    <w:pPr>
      <w:pStyle w:val="Header"/>
      <w:jc w:val="right"/>
      <w:rPr>
        <w:sz w:val="24"/>
        <w:szCs w:val="24"/>
      </w:rPr>
    </w:pPr>
    <w:r w:rsidRPr="00BC4760">
      <w:rPr>
        <w:sz w:val="24"/>
        <w:szCs w:val="24"/>
      </w:rPr>
      <w:t>Information Relative to the Title V Permit</w:t>
    </w:r>
  </w:p>
  <w:p w14:paraId="3B3C2A6F" w14:textId="4EC01318" w:rsidR="007253AC" w:rsidRDefault="007253AC">
    <w:pPr>
      <w:pStyle w:val="Header"/>
      <w:jc w:val="right"/>
    </w:pPr>
    <w:r w:rsidRPr="00BC4760">
      <w:rPr>
        <w:sz w:val="24"/>
        <w:szCs w:val="24"/>
      </w:rPr>
      <w:t xml:space="preserve">Page </w:t>
    </w:r>
    <w:r w:rsidRPr="00BC4760">
      <w:rPr>
        <w:bCs/>
        <w:sz w:val="24"/>
        <w:szCs w:val="24"/>
      </w:rPr>
      <w:fldChar w:fldCharType="begin"/>
    </w:r>
    <w:r w:rsidRPr="00BC4760">
      <w:rPr>
        <w:bCs/>
        <w:sz w:val="24"/>
        <w:szCs w:val="24"/>
      </w:rPr>
      <w:instrText xml:space="preserve"> PAGE </w:instrText>
    </w:r>
    <w:r w:rsidRPr="00BC4760">
      <w:rPr>
        <w:bCs/>
        <w:sz w:val="24"/>
        <w:szCs w:val="24"/>
      </w:rPr>
      <w:fldChar w:fldCharType="separate"/>
    </w:r>
    <w:r w:rsidR="00326E9C">
      <w:rPr>
        <w:bCs/>
        <w:noProof/>
        <w:sz w:val="24"/>
        <w:szCs w:val="24"/>
      </w:rPr>
      <w:t>6</w:t>
    </w:r>
    <w:r w:rsidRPr="00BC4760">
      <w:rPr>
        <w:bCs/>
        <w:sz w:val="24"/>
        <w:szCs w:val="24"/>
      </w:rPr>
      <w:fldChar w:fldCharType="end"/>
    </w:r>
    <w:r w:rsidRPr="00BC4760">
      <w:rPr>
        <w:sz w:val="24"/>
        <w:szCs w:val="24"/>
      </w:rPr>
      <w:t xml:space="preserve"> of </w:t>
    </w:r>
    <w:r w:rsidRPr="00BC4760">
      <w:rPr>
        <w:bCs/>
        <w:sz w:val="24"/>
        <w:szCs w:val="24"/>
      </w:rPr>
      <w:fldChar w:fldCharType="begin"/>
    </w:r>
    <w:r w:rsidRPr="00BC4760">
      <w:rPr>
        <w:bCs/>
        <w:sz w:val="24"/>
        <w:szCs w:val="24"/>
      </w:rPr>
      <w:instrText xml:space="preserve"> NUMPAGES  </w:instrText>
    </w:r>
    <w:r w:rsidRPr="00BC4760">
      <w:rPr>
        <w:bCs/>
        <w:sz w:val="24"/>
        <w:szCs w:val="24"/>
      </w:rPr>
      <w:fldChar w:fldCharType="separate"/>
    </w:r>
    <w:r w:rsidR="00326E9C">
      <w:rPr>
        <w:bCs/>
        <w:noProof/>
        <w:sz w:val="24"/>
        <w:szCs w:val="24"/>
      </w:rPr>
      <w:t>6</w:t>
    </w:r>
    <w:r w:rsidRPr="00BC4760">
      <w:rPr>
        <w:bCs/>
        <w:sz w:val="24"/>
        <w:szCs w:val="24"/>
      </w:rPr>
      <w:fldChar w:fldCharType="end"/>
    </w:r>
  </w:p>
  <w:p w14:paraId="3B3C2A70" w14:textId="77777777" w:rsidR="007253AC" w:rsidRDefault="007253AC" w:rsidP="00BC47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06BC"/>
    <w:multiLevelType w:val="hybridMultilevel"/>
    <w:tmpl w:val="FE186438"/>
    <w:lvl w:ilvl="0" w:tplc="607014B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B04026"/>
    <w:multiLevelType w:val="hybridMultilevel"/>
    <w:tmpl w:val="3EF6C4F4"/>
    <w:lvl w:ilvl="0" w:tplc="46B624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F40CE"/>
    <w:multiLevelType w:val="hybridMultilevel"/>
    <w:tmpl w:val="CFCC71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C4125EE"/>
    <w:multiLevelType w:val="hybridMultilevel"/>
    <w:tmpl w:val="C3F89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5D"/>
    <w:rsid w:val="000463DE"/>
    <w:rsid w:val="0005117D"/>
    <w:rsid w:val="00065415"/>
    <w:rsid w:val="00074BFD"/>
    <w:rsid w:val="00076CDC"/>
    <w:rsid w:val="00083009"/>
    <w:rsid w:val="00094FD9"/>
    <w:rsid w:val="000A4A72"/>
    <w:rsid w:val="000C10C1"/>
    <w:rsid w:val="000D4EFC"/>
    <w:rsid w:val="000F69D8"/>
    <w:rsid w:val="00101BCE"/>
    <w:rsid w:val="00104CE2"/>
    <w:rsid w:val="00113BA7"/>
    <w:rsid w:val="00116779"/>
    <w:rsid w:val="0012271A"/>
    <w:rsid w:val="00123A2C"/>
    <w:rsid w:val="00141F9A"/>
    <w:rsid w:val="00144F67"/>
    <w:rsid w:val="00145F0D"/>
    <w:rsid w:val="00151AE0"/>
    <w:rsid w:val="00153E73"/>
    <w:rsid w:val="00161C17"/>
    <w:rsid w:val="001632FE"/>
    <w:rsid w:val="0018210B"/>
    <w:rsid w:val="00197D1D"/>
    <w:rsid w:val="001A28E6"/>
    <w:rsid w:val="001B016C"/>
    <w:rsid w:val="001C5E6D"/>
    <w:rsid w:val="001D06AF"/>
    <w:rsid w:val="001E3AC4"/>
    <w:rsid w:val="002051CE"/>
    <w:rsid w:val="00207776"/>
    <w:rsid w:val="002109C2"/>
    <w:rsid w:val="002278E2"/>
    <w:rsid w:val="00233E49"/>
    <w:rsid w:val="0025062C"/>
    <w:rsid w:val="0025327D"/>
    <w:rsid w:val="002612FF"/>
    <w:rsid w:val="0026140A"/>
    <w:rsid w:val="00272DF9"/>
    <w:rsid w:val="00280FAA"/>
    <w:rsid w:val="00284589"/>
    <w:rsid w:val="00297DEB"/>
    <w:rsid w:val="002A1F86"/>
    <w:rsid w:val="002A62E3"/>
    <w:rsid w:val="002A71C6"/>
    <w:rsid w:val="002A7C97"/>
    <w:rsid w:val="002B70B9"/>
    <w:rsid w:val="002B78FD"/>
    <w:rsid w:val="002D58EE"/>
    <w:rsid w:val="00325776"/>
    <w:rsid w:val="00326E9C"/>
    <w:rsid w:val="00336A22"/>
    <w:rsid w:val="00351E35"/>
    <w:rsid w:val="003569E6"/>
    <w:rsid w:val="00380D37"/>
    <w:rsid w:val="00381402"/>
    <w:rsid w:val="003A4126"/>
    <w:rsid w:val="003C2807"/>
    <w:rsid w:val="003E1CD8"/>
    <w:rsid w:val="003E44DF"/>
    <w:rsid w:val="003F0BF7"/>
    <w:rsid w:val="003F7CF6"/>
    <w:rsid w:val="00401A80"/>
    <w:rsid w:val="00403E66"/>
    <w:rsid w:val="00416FDD"/>
    <w:rsid w:val="00421490"/>
    <w:rsid w:val="00421BD0"/>
    <w:rsid w:val="00430F3D"/>
    <w:rsid w:val="00433158"/>
    <w:rsid w:val="00445E9C"/>
    <w:rsid w:val="00457835"/>
    <w:rsid w:val="00461018"/>
    <w:rsid w:val="00471345"/>
    <w:rsid w:val="004728A5"/>
    <w:rsid w:val="0048090B"/>
    <w:rsid w:val="00484BC9"/>
    <w:rsid w:val="00495C7A"/>
    <w:rsid w:val="0049771A"/>
    <w:rsid w:val="004A6646"/>
    <w:rsid w:val="004B3C66"/>
    <w:rsid w:val="004F34CA"/>
    <w:rsid w:val="00502BDC"/>
    <w:rsid w:val="00526772"/>
    <w:rsid w:val="00531513"/>
    <w:rsid w:val="00533EFC"/>
    <w:rsid w:val="00566C4A"/>
    <w:rsid w:val="00573932"/>
    <w:rsid w:val="0057731E"/>
    <w:rsid w:val="00577CB8"/>
    <w:rsid w:val="0059277D"/>
    <w:rsid w:val="00595060"/>
    <w:rsid w:val="00595509"/>
    <w:rsid w:val="005A52FC"/>
    <w:rsid w:val="005C46A6"/>
    <w:rsid w:val="005D0C80"/>
    <w:rsid w:val="005D60A6"/>
    <w:rsid w:val="005E0411"/>
    <w:rsid w:val="005E11B2"/>
    <w:rsid w:val="005E1C12"/>
    <w:rsid w:val="005E510E"/>
    <w:rsid w:val="005F6106"/>
    <w:rsid w:val="00616BA3"/>
    <w:rsid w:val="00620F2D"/>
    <w:rsid w:val="00631F0A"/>
    <w:rsid w:val="006605F2"/>
    <w:rsid w:val="00665743"/>
    <w:rsid w:val="00674F84"/>
    <w:rsid w:val="00681AD1"/>
    <w:rsid w:val="0068524D"/>
    <w:rsid w:val="00692216"/>
    <w:rsid w:val="0069240F"/>
    <w:rsid w:val="006A1CB2"/>
    <w:rsid w:val="006A2FCD"/>
    <w:rsid w:val="006A52EB"/>
    <w:rsid w:val="006B0A6B"/>
    <w:rsid w:val="006C2323"/>
    <w:rsid w:val="006D5960"/>
    <w:rsid w:val="006E74C7"/>
    <w:rsid w:val="006F0510"/>
    <w:rsid w:val="007107FD"/>
    <w:rsid w:val="007253AC"/>
    <w:rsid w:val="0072616E"/>
    <w:rsid w:val="00737E17"/>
    <w:rsid w:val="007658D7"/>
    <w:rsid w:val="0076636C"/>
    <w:rsid w:val="00774739"/>
    <w:rsid w:val="00792653"/>
    <w:rsid w:val="007A29E9"/>
    <w:rsid w:val="007C1397"/>
    <w:rsid w:val="007D47A8"/>
    <w:rsid w:val="007D59A6"/>
    <w:rsid w:val="007E5ABC"/>
    <w:rsid w:val="007E6D99"/>
    <w:rsid w:val="00815F7F"/>
    <w:rsid w:val="008257E7"/>
    <w:rsid w:val="00852478"/>
    <w:rsid w:val="0086140E"/>
    <w:rsid w:val="008638FC"/>
    <w:rsid w:val="00866F81"/>
    <w:rsid w:val="00881A21"/>
    <w:rsid w:val="008855AA"/>
    <w:rsid w:val="0089117D"/>
    <w:rsid w:val="00893F2F"/>
    <w:rsid w:val="008A1F39"/>
    <w:rsid w:val="008B0CD2"/>
    <w:rsid w:val="008C1F88"/>
    <w:rsid w:val="00900E96"/>
    <w:rsid w:val="00913A3B"/>
    <w:rsid w:val="00916826"/>
    <w:rsid w:val="00922504"/>
    <w:rsid w:val="00934A58"/>
    <w:rsid w:val="00941800"/>
    <w:rsid w:val="00942EBD"/>
    <w:rsid w:val="00956BF9"/>
    <w:rsid w:val="009733EB"/>
    <w:rsid w:val="00984B3A"/>
    <w:rsid w:val="00991620"/>
    <w:rsid w:val="009A1E5D"/>
    <w:rsid w:val="009B6449"/>
    <w:rsid w:val="009E3C18"/>
    <w:rsid w:val="009E5778"/>
    <w:rsid w:val="009F001D"/>
    <w:rsid w:val="00A219FF"/>
    <w:rsid w:val="00A26B5C"/>
    <w:rsid w:val="00A30098"/>
    <w:rsid w:val="00A3168B"/>
    <w:rsid w:val="00A31F25"/>
    <w:rsid w:val="00A35286"/>
    <w:rsid w:val="00A45A89"/>
    <w:rsid w:val="00A7013A"/>
    <w:rsid w:val="00A7273A"/>
    <w:rsid w:val="00A7779F"/>
    <w:rsid w:val="00A939F2"/>
    <w:rsid w:val="00AA0887"/>
    <w:rsid w:val="00AB0F1E"/>
    <w:rsid w:val="00AB6090"/>
    <w:rsid w:val="00AD7559"/>
    <w:rsid w:val="00AE4F70"/>
    <w:rsid w:val="00AF4D77"/>
    <w:rsid w:val="00B00746"/>
    <w:rsid w:val="00B0169C"/>
    <w:rsid w:val="00B143B2"/>
    <w:rsid w:val="00B43ECD"/>
    <w:rsid w:val="00B7220E"/>
    <w:rsid w:val="00B96E05"/>
    <w:rsid w:val="00BA35A4"/>
    <w:rsid w:val="00BA3BCF"/>
    <w:rsid w:val="00BA7625"/>
    <w:rsid w:val="00BB7B42"/>
    <w:rsid w:val="00BC4760"/>
    <w:rsid w:val="00BF16FD"/>
    <w:rsid w:val="00C11913"/>
    <w:rsid w:val="00C1523D"/>
    <w:rsid w:val="00C159FA"/>
    <w:rsid w:val="00C169D3"/>
    <w:rsid w:val="00C30E3A"/>
    <w:rsid w:val="00C32198"/>
    <w:rsid w:val="00C3443C"/>
    <w:rsid w:val="00C3647C"/>
    <w:rsid w:val="00C50599"/>
    <w:rsid w:val="00C53F3A"/>
    <w:rsid w:val="00C553AE"/>
    <w:rsid w:val="00C57EE0"/>
    <w:rsid w:val="00C6617B"/>
    <w:rsid w:val="00C72133"/>
    <w:rsid w:val="00C77343"/>
    <w:rsid w:val="00CB077D"/>
    <w:rsid w:val="00CC1957"/>
    <w:rsid w:val="00D03EB8"/>
    <w:rsid w:val="00D0538F"/>
    <w:rsid w:val="00D0695D"/>
    <w:rsid w:val="00D24175"/>
    <w:rsid w:val="00D320A2"/>
    <w:rsid w:val="00D46FD5"/>
    <w:rsid w:val="00D62E13"/>
    <w:rsid w:val="00D7182F"/>
    <w:rsid w:val="00D86DE2"/>
    <w:rsid w:val="00D90F67"/>
    <w:rsid w:val="00DC25E9"/>
    <w:rsid w:val="00DC4C3C"/>
    <w:rsid w:val="00DD5DF1"/>
    <w:rsid w:val="00DD7E8A"/>
    <w:rsid w:val="00DE1572"/>
    <w:rsid w:val="00DE5554"/>
    <w:rsid w:val="00DF31AD"/>
    <w:rsid w:val="00E03D2E"/>
    <w:rsid w:val="00E22BBD"/>
    <w:rsid w:val="00E302DE"/>
    <w:rsid w:val="00E32C65"/>
    <w:rsid w:val="00E3314F"/>
    <w:rsid w:val="00E37ECA"/>
    <w:rsid w:val="00E60EA3"/>
    <w:rsid w:val="00E7081B"/>
    <w:rsid w:val="00E72AA1"/>
    <w:rsid w:val="00E73801"/>
    <w:rsid w:val="00E76429"/>
    <w:rsid w:val="00E77C66"/>
    <w:rsid w:val="00E815CD"/>
    <w:rsid w:val="00E959E1"/>
    <w:rsid w:val="00E96505"/>
    <w:rsid w:val="00EB6501"/>
    <w:rsid w:val="00ED2C87"/>
    <w:rsid w:val="00ED6D14"/>
    <w:rsid w:val="00EE630B"/>
    <w:rsid w:val="00F2153D"/>
    <w:rsid w:val="00F318BE"/>
    <w:rsid w:val="00F47224"/>
    <w:rsid w:val="00F83CBF"/>
    <w:rsid w:val="00FA02CD"/>
    <w:rsid w:val="00FA7489"/>
    <w:rsid w:val="00FB219A"/>
    <w:rsid w:val="00FB4045"/>
    <w:rsid w:val="00FC0485"/>
    <w:rsid w:val="00FC30FB"/>
    <w:rsid w:val="00FD3166"/>
    <w:rsid w:val="00FF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C29AA"/>
  <w14:defaultImageDpi w14:val="0"/>
  <w15:docId w15:val="{1AD28C72-1EE3-4DAF-89D4-2066942B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2">
    <w:name w:val="heading 2"/>
    <w:basedOn w:val="Normal"/>
    <w:next w:val="Normal"/>
    <w:link w:val="Heading2Char"/>
    <w:uiPriority w:val="99"/>
    <w:qFormat/>
    <w:pPr>
      <w:keepNext/>
      <w:widowControl w:val="0"/>
      <w:tabs>
        <w:tab w:val="left" w:pos="90"/>
      </w:tabs>
      <w:outlineLvl w:val="1"/>
    </w:pPr>
    <w:rPr>
      <w:color w:val="000000"/>
      <w:sz w:val="24"/>
      <w:szCs w:val="24"/>
    </w:rPr>
  </w:style>
  <w:style w:type="paragraph" w:styleId="Heading3">
    <w:name w:val="heading 3"/>
    <w:basedOn w:val="Normal"/>
    <w:next w:val="Normal"/>
    <w:link w:val="Heading3Char"/>
    <w:uiPriority w:val="99"/>
    <w:qFormat/>
    <w:pPr>
      <w:keepNext/>
      <w:widowControl w:val="0"/>
      <w:tabs>
        <w:tab w:val="left" w:pos="4860"/>
      </w:tabs>
      <w:spacing w:after="240"/>
      <w:ind w:left="4867"/>
      <w:outlineLvl w:val="2"/>
    </w:pPr>
    <w:rPr>
      <w:color w:val="000000"/>
      <w:sz w:val="24"/>
      <w:szCs w:val="24"/>
    </w:rPr>
  </w:style>
  <w:style w:type="paragraph" w:styleId="Heading4">
    <w:name w:val="heading 4"/>
    <w:basedOn w:val="Normal"/>
    <w:next w:val="Normal"/>
    <w:link w:val="Heading4Char"/>
    <w:uiPriority w:val="99"/>
    <w:qFormat/>
    <w:pPr>
      <w:keepNext/>
      <w:tabs>
        <w:tab w:val="left" w:pos="4320"/>
      </w:tabs>
      <w:ind w:left="4320" w:hanging="461"/>
      <w:outlineLvl w:val="3"/>
    </w:pPr>
    <w:rPr>
      <w:sz w:val="24"/>
      <w:szCs w:val="24"/>
    </w:rPr>
  </w:style>
  <w:style w:type="paragraph" w:styleId="Heading5">
    <w:name w:val="heading 5"/>
    <w:basedOn w:val="Normal"/>
    <w:next w:val="Normal"/>
    <w:link w:val="Heading5Char"/>
    <w:uiPriority w:val="99"/>
    <w:qFormat/>
    <w:pPr>
      <w:keepNext/>
      <w:jc w:val="center"/>
      <w:outlineLvl w:val="4"/>
    </w:pPr>
    <w:rPr>
      <w:rFonts w:ascii="Arial" w:hAnsi="Arial" w:cs="Arial"/>
      <w:b/>
      <w:bCs/>
      <w:color w:val="FFFFFF"/>
    </w:rPr>
  </w:style>
  <w:style w:type="paragraph" w:styleId="Heading6">
    <w:name w:val="heading 6"/>
    <w:basedOn w:val="Normal"/>
    <w:next w:val="Normal"/>
    <w:link w:val="Heading6Char"/>
    <w:uiPriority w:val="99"/>
    <w:qFormat/>
    <w:pPr>
      <w:keepNext/>
      <w:tabs>
        <w:tab w:val="left" w:pos="4320"/>
        <w:tab w:val="left" w:pos="4860"/>
        <w:tab w:val="left" w:pos="5220"/>
      </w:tabs>
      <w:ind w:left="3600"/>
      <w:outlineLvl w:val="5"/>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paragraph" w:styleId="Heading8">
    <w:name w:val="heading 8"/>
    <w:basedOn w:val="Normal"/>
    <w:next w:val="Normal"/>
    <w:link w:val="Heading8Char"/>
    <w:uiPriority w:val="99"/>
    <w:qFormat/>
    <w:pPr>
      <w:keepNext/>
      <w:tabs>
        <w:tab w:val="left" w:pos="90"/>
      </w:tabs>
      <w:jc w:val="center"/>
      <w:outlineLvl w:val="7"/>
    </w:pPr>
    <w:rPr>
      <w:b/>
      <w:bCs/>
      <w:sz w:val="24"/>
      <w:szCs w:val="24"/>
      <w:u w:val="single"/>
    </w:rPr>
  </w:style>
  <w:style w:type="paragraph" w:styleId="Heading9">
    <w:name w:val="heading 9"/>
    <w:basedOn w:val="Normal"/>
    <w:next w:val="Normal"/>
    <w:link w:val="Heading9Char"/>
    <w:uiPriority w:val="99"/>
    <w:qFormat/>
    <w:pPr>
      <w:keepNext/>
      <w:tabs>
        <w:tab w:val="left" w:pos="90"/>
      </w:tabs>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tabs>
        <w:tab w:val="left" w:pos="900"/>
      </w:tabs>
      <w:spacing w:before="120" w:after="120"/>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customStyle="1" w:styleId="ReferenceLine">
    <w:name w:val="Reference Line"/>
    <w:basedOn w:val="BodyText"/>
    <w:uiPriority w:val="99"/>
  </w:style>
  <w:style w:type="paragraph" w:customStyle="1" w:styleId="CcList">
    <w:name w:val="Cc List"/>
    <w:basedOn w:val="Normal"/>
    <w:uiPriority w:val="99"/>
    <w:pPr>
      <w:widowControl w:val="0"/>
    </w:pPr>
    <w:rPr>
      <w:sz w:val="24"/>
      <w:szCs w:val="24"/>
    </w:rPr>
  </w:style>
  <w:style w:type="paragraph" w:styleId="BodyText3">
    <w:name w:val="Body Text 3"/>
    <w:basedOn w:val="Normal"/>
    <w:link w:val="BodyText3Char"/>
    <w:uiPriority w:val="99"/>
    <w:pPr>
      <w:widowControl w:val="0"/>
      <w:tabs>
        <w:tab w:val="left" w:pos="90"/>
      </w:tabs>
      <w:spacing w:after="240"/>
    </w:pPr>
    <w:rPr>
      <w:color w:val="000000"/>
      <w:sz w:val="24"/>
      <w:szCs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Caption">
    <w:name w:val="caption"/>
    <w:basedOn w:val="Normal"/>
    <w:next w:val="Normal"/>
    <w:uiPriority w:val="99"/>
    <w:qFormat/>
    <w:pPr>
      <w:tabs>
        <w:tab w:val="center" w:pos="4650"/>
      </w:tabs>
    </w:pPr>
    <w:rPr>
      <w:color w:val="000000"/>
      <w:sz w:val="24"/>
      <w:szCs w:val="24"/>
    </w:rPr>
  </w:style>
  <w:style w:type="paragraph" w:styleId="BodyTextIndent2">
    <w:name w:val="Body Text Indent 2"/>
    <w:basedOn w:val="Normal"/>
    <w:link w:val="BodyTextIndent2Char"/>
    <w:uiPriority w:val="99"/>
    <w:pPr>
      <w:tabs>
        <w:tab w:val="left" w:pos="5220"/>
      </w:tabs>
      <w:ind w:left="4320"/>
    </w:pPr>
    <w:rPr>
      <w:color w:val="000000"/>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5220"/>
      </w:tabs>
      <w:ind w:left="4320"/>
    </w:pPr>
    <w:rPr>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1">
    <w:name w:val="1"/>
    <w:aliases w:val="2,3"/>
    <w:uiPriority w:val="99"/>
    <w:pPr>
      <w:autoSpaceDE w:val="0"/>
      <w:autoSpaceDN w:val="0"/>
      <w:spacing w:after="0" w:line="240" w:lineRule="auto"/>
      <w:ind w:left="720"/>
    </w:pPr>
    <w:rPr>
      <w:rFonts w:ascii="CG Times" w:hAnsi="CG Times" w:cs="CG 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alloonText">
    <w:name w:val="Balloon Text"/>
    <w:basedOn w:val="Normal"/>
    <w:link w:val="BalloonTextChar"/>
    <w:uiPriority w:val="99"/>
    <w:semiHidden/>
    <w:rsid w:val="00FC048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461018"/>
    <w:rPr>
      <w:rFonts w:cs="Times New Roman"/>
      <w:sz w:val="16"/>
      <w:szCs w:val="16"/>
    </w:rPr>
  </w:style>
  <w:style w:type="paragraph" w:styleId="CommentText">
    <w:name w:val="annotation text"/>
    <w:basedOn w:val="Normal"/>
    <w:link w:val="CommentTextChar"/>
    <w:uiPriority w:val="99"/>
    <w:semiHidden/>
    <w:unhideWhenUsed/>
    <w:rsid w:val="00461018"/>
  </w:style>
  <w:style w:type="character" w:customStyle="1" w:styleId="CommentTextChar">
    <w:name w:val="Comment Text Char"/>
    <w:basedOn w:val="DefaultParagraphFont"/>
    <w:link w:val="CommentText"/>
    <w:uiPriority w:val="99"/>
    <w:semiHidden/>
    <w:locked/>
    <w:rsid w:val="00461018"/>
    <w:rPr>
      <w:rFonts w:cs="Times New Roman"/>
      <w:sz w:val="20"/>
      <w:szCs w:val="20"/>
    </w:rPr>
  </w:style>
  <w:style w:type="paragraph" w:styleId="CommentSubject">
    <w:name w:val="annotation subject"/>
    <w:basedOn w:val="CommentText"/>
    <w:next w:val="CommentText"/>
    <w:link w:val="CommentSubjectChar"/>
    <w:uiPriority w:val="99"/>
    <w:semiHidden/>
    <w:unhideWhenUsed/>
    <w:rsid w:val="00461018"/>
    <w:rPr>
      <w:b/>
      <w:bCs/>
    </w:rPr>
  </w:style>
  <w:style w:type="character" w:customStyle="1" w:styleId="CommentSubjectChar">
    <w:name w:val="Comment Subject Char"/>
    <w:basedOn w:val="CommentTextChar"/>
    <w:link w:val="CommentSubject"/>
    <w:uiPriority w:val="99"/>
    <w:semiHidden/>
    <w:locked/>
    <w:rsid w:val="00461018"/>
    <w:rPr>
      <w:rFonts w:cs="Times New Roman"/>
      <w:b/>
      <w:bCs/>
      <w:sz w:val="20"/>
      <w:szCs w:val="20"/>
    </w:rPr>
  </w:style>
  <w:style w:type="table" w:styleId="TableGrid">
    <w:name w:val="Table Grid"/>
    <w:basedOn w:val="TableNormal"/>
    <w:uiPriority w:val="59"/>
    <w:rsid w:val="00C7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6A52EB"/>
    <w:pPr>
      <w:spacing w:after="0" w:line="240" w:lineRule="auto"/>
    </w:pPr>
    <w:rPr>
      <w:sz w:val="20"/>
      <w:szCs w:val="20"/>
    </w:rPr>
  </w:style>
  <w:style w:type="paragraph" w:styleId="NoSpacing">
    <w:name w:val="No Spacing"/>
    <w:uiPriority w:val="1"/>
    <w:qFormat/>
    <w:rsid w:val="00815F7F"/>
    <w:pPr>
      <w:autoSpaceDE w:val="0"/>
      <w:autoSpaceDN w:val="0"/>
      <w:spacing w:after="0" w:line="240" w:lineRule="auto"/>
    </w:pPr>
    <w:rPr>
      <w:sz w:val="20"/>
      <w:szCs w:val="20"/>
    </w:rPr>
  </w:style>
  <w:style w:type="paragraph" w:styleId="ListParagraph">
    <w:name w:val="List Paragraph"/>
    <w:basedOn w:val="Normal"/>
    <w:uiPriority w:val="34"/>
    <w:qFormat/>
    <w:rsid w:val="001B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Tempo Field</vt:lpstr>
    </vt:vector>
  </TitlesOfParts>
  <Company>Office of Pollution Control</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 Field</dc:title>
  <dc:subject/>
  <dc:creator>Bruce Ferguson</dc:creator>
  <cp:keywords/>
  <dc:description/>
  <cp:lastModifiedBy>Jaricus Whitlock</cp:lastModifiedBy>
  <cp:revision>88</cp:revision>
  <cp:lastPrinted>2019-09-20T16:53:00Z</cp:lastPrinted>
  <dcterms:created xsi:type="dcterms:W3CDTF">2020-08-21T22:52:00Z</dcterms:created>
  <dcterms:modified xsi:type="dcterms:W3CDTF">2020-09-10T21:47:00Z</dcterms:modified>
</cp:coreProperties>
</file>