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D72" w:rsidRDefault="007B6F49">
      <w:pPr>
        <w:jc w:val="center"/>
        <w:rPr>
          <w:b/>
          <w:bCs/>
          <w:sz w:val="32"/>
          <w:szCs w:val="32"/>
        </w:rPr>
      </w:pPr>
      <w:bookmarkStart w:id="0" w:name="_GoBack"/>
      <w:bookmarkEnd w:id="0"/>
      <w:r>
        <w:rPr>
          <w:b/>
          <w:bCs/>
          <w:sz w:val="32"/>
          <w:szCs w:val="32"/>
        </w:rPr>
        <w:t>INFORMATION RELATIVE TO</w:t>
      </w:r>
    </w:p>
    <w:p w:rsidR="001D4D72" w:rsidRDefault="007B6F49">
      <w:pPr>
        <w:jc w:val="center"/>
        <w:rPr>
          <w:b/>
          <w:bCs/>
          <w:sz w:val="32"/>
          <w:szCs w:val="32"/>
        </w:rPr>
      </w:pPr>
      <w:r>
        <w:rPr>
          <w:b/>
          <w:bCs/>
          <w:sz w:val="32"/>
          <w:szCs w:val="32"/>
        </w:rPr>
        <w:t>THE DRAFT TITLE V OPERATING PERMIT</w:t>
      </w:r>
    </w:p>
    <w:p w:rsidR="001D4D72" w:rsidRDefault="007B6F49">
      <w:pPr>
        <w:jc w:val="center"/>
        <w:rPr>
          <w:b/>
          <w:bCs/>
          <w:sz w:val="24"/>
          <w:szCs w:val="24"/>
        </w:rPr>
      </w:pPr>
      <w:r>
        <w:rPr>
          <w:b/>
          <w:bCs/>
          <w:sz w:val="24"/>
          <w:szCs w:val="24"/>
        </w:rPr>
        <w:t>(March 8, 2013)</w:t>
      </w:r>
    </w:p>
    <w:p w:rsidR="001D4D72" w:rsidRDefault="001D4D72">
      <w:pPr>
        <w:jc w:val="center"/>
        <w:rPr>
          <w:sz w:val="24"/>
          <w:szCs w:val="24"/>
        </w:rPr>
      </w:pPr>
    </w:p>
    <w:p w:rsidR="001D4D72" w:rsidRDefault="007B6F49">
      <w:pPr>
        <w:spacing w:line="360" w:lineRule="auto"/>
        <w:jc w:val="center"/>
        <w:rPr>
          <w:sz w:val="24"/>
          <w:szCs w:val="24"/>
        </w:rPr>
      </w:pPr>
      <w:r>
        <w:rPr>
          <w:sz w:val="24"/>
          <w:szCs w:val="24"/>
        </w:rPr>
        <w:t>FOR:</w:t>
      </w:r>
    </w:p>
    <w:p w:rsidR="001D4D72" w:rsidRDefault="007B6F49">
      <w:pPr>
        <w:pStyle w:val="ReferenceLine"/>
        <w:widowControl/>
        <w:tabs>
          <w:tab w:val="left" w:pos="90"/>
        </w:tabs>
        <w:spacing w:after="0"/>
        <w:jc w:val="center"/>
        <w:rPr>
          <w:b/>
          <w:bCs/>
        </w:rPr>
      </w:pPr>
      <w:r>
        <w:rPr>
          <w:b/>
          <w:bCs/>
        </w:rPr>
        <w:t>Southern Natural Gas Company, LLC</w:t>
      </w:r>
    </w:p>
    <w:p w:rsidR="001D4D72" w:rsidRDefault="007B6F49">
      <w:pPr>
        <w:pStyle w:val="ReferenceLine"/>
        <w:spacing w:after="0"/>
        <w:jc w:val="center"/>
        <w:rPr>
          <w:b/>
          <w:bCs/>
        </w:rPr>
      </w:pPr>
      <w:r>
        <w:rPr>
          <w:b/>
          <w:bCs/>
        </w:rPr>
        <w:t>Muldon Storage Facility</w:t>
      </w:r>
    </w:p>
    <w:p w:rsidR="001D4D72" w:rsidRDefault="007B6F49">
      <w:pPr>
        <w:pStyle w:val="ReferenceLine"/>
        <w:spacing w:after="0"/>
        <w:jc w:val="center"/>
        <w:rPr>
          <w:b/>
          <w:bCs/>
        </w:rPr>
      </w:pPr>
      <w:r>
        <w:rPr>
          <w:b/>
          <w:bCs/>
        </w:rPr>
        <w:t>10156 Old Magnolia Highway</w:t>
      </w:r>
    </w:p>
    <w:p w:rsidR="001D4D72" w:rsidRDefault="007B6F49">
      <w:pPr>
        <w:pStyle w:val="ReferenceLine"/>
        <w:widowControl/>
        <w:spacing w:after="0"/>
        <w:jc w:val="center"/>
      </w:pPr>
      <w:r>
        <w:rPr>
          <w:b/>
          <w:bCs/>
        </w:rPr>
        <w:t>Prairie, Mississippi (Monroe Co.)</w:t>
      </w:r>
    </w:p>
    <w:p w:rsidR="001D4D72" w:rsidRDefault="001D4D72">
      <w:pPr>
        <w:pStyle w:val="ReferenceLine"/>
        <w:widowControl/>
        <w:spacing w:after="0"/>
      </w:pPr>
    </w:p>
    <w:p w:rsidR="001D4D72" w:rsidRDefault="007B6F49">
      <w:pPr>
        <w:spacing w:line="360" w:lineRule="auto"/>
        <w:rPr>
          <w:sz w:val="24"/>
          <w:szCs w:val="24"/>
        </w:rPr>
      </w:pPr>
      <w:r>
        <w:rPr>
          <w:sz w:val="24"/>
          <w:szCs w:val="24"/>
          <w:u w:val="single"/>
        </w:rPr>
        <w:t>FACILITY DESCRIPTION</w:t>
      </w:r>
    </w:p>
    <w:p w:rsidR="001D4D72" w:rsidRDefault="007B6F49">
      <w:pPr>
        <w:jc w:val="both"/>
        <w:rPr>
          <w:sz w:val="24"/>
          <w:szCs w:val="24"/>
        </w:rPr>
      </w:pPr>
      <w:bookmarkStart w:id="1" w:name="Text5"/>
      <w:r>
        <w:rPr>
          <w:sz w:val="24"/>
          <w:szCs w:val="24"/>
        </w:rPr>
        <w:t>Southern Natural Gas Company, LLC</w:t>
      </w:r>
      <w:r>
        <w:rPr>
          <w:sz w:val="24"/>
          <w:szCs w:val="24"/>
        </w:rPr>
        <w:t xml:space="preserve"> –Muldon Storage Facility, is an existing natural gas transmission and storage facility (SIC 4922) located near Prairie, Mississippi (Monroe County).  The facility is applying for renewal of the current Title V Operating Permit.  The facility consists of t</w:t>
      </w:r>
      <w:r>
        <w:rPr>
          <w:sz w:val="24"/>
          <w:szCs w:val="24"/>
        </w:rPr>
        <w:t>he following significant sources:</w:t>
      </w:r>
    </w:p>
    <w:p w:rsidR="001D4D72" w:rsidRDefault="001D4D72">
      <w:pPr>
        <w:widowControl w:val="0"/>
        <w:jc w:val="both"/>
        <w:rPr>
          <w:sz w:val="24"/>
          <w:szCs w:val="24"/>
        </w:rPr>
      </w:pPr>
    </w:p>
    <w:tbl>
      <w:tblPr>
        <w:tblW w:w="9810" w:type="dxa"/>
        <w:tblInd w:w="120" w:type="dxa"/>
        <w:tblLayout w:type="fixed"/>
        <w:tblCellMar>
          <w:left w:w="120" w:type="dxa"/>
          <w:right w:w="120" w:type="dxa"/>
        </w:tblCellMar>
        <w:tblLook w:val="0000" w:firstRow="0" w:lastRow="0" w:firstColumn="0" w:lastColumn="0" w:noHBand="0" w:noVBand="0"/>
      </w:tblPr>
      <w:tblGrid>
        <w:gridCol w:w="1170"/>
        <w:gridCol w:w="8640"/>
      </w:tblGrid>
      <w:tr w:rsidR="001D4D72">
        <w:trPr>
          <w:tblHeader/>
        </w:trPr>
        <w:tc>
          <w:tcPr>
            <w:tcW w:w="1170" w:type="dxa"/>
            <w:tcBorders>
              <w:top w:val="double" w:sz="6" w:space="0" w:color="000000"/>
              <w:left w:val="double" w:sz="6" w:space="0" w:color="000000"/>
              <w:bottom w:val="double" w:sz="6" w:space="0" w:color="000000"/>
              <w:right w:val="single" w:sz="6" w:space="0" w:color="000000"/>
            </w:tcBorders>
            <w:shd w:val="pct20" w:color="000000" w:fill="FFFFFF"/>
            <w:vAlign w:val="center"/>
          </w:tcPr>
          <w:p w:rsidR="001D4D72" w:rsidRDefault="007B6F49">
            <w:pPr>
              <w:tabs>
                <w:tab w:val="left" w:pos="-1213"/>
                <w:tab w:val="left" w:pos="-720"/>
                <w:tab w:val="left" w:pos="0"/>
                <w:tab w:val="left" w:pos="810"/>
              </w:tabs>
              <w:spacing w:before="60" w:after="60"/>
              <w:jc w:val="center"/>
            </w:pPr>
            <w:r>
              <w:t>Emission Point</w:t>
            </w:r>
          </w:p>
        </w:tc>
        <w:tc>
          <w:tcPr>
            <w:tcW w:w="8640" w:type="dxa"/>
            <w:tcBorders>
              <w:top w:val="double" w:sz="6" w:space="0" w:color="000000"/>
              <w:left w:val="single" w:sz="6" w:space="0" w:color="000000"/>
              <w:bottom w:val="double" w:sz="6" w:space="0" w:color="000000"/>
              <w:right w:val="double" w:sz="6" w:space="0" w:color="000000"/>
            </w:tcBorders>
            <w:shd w:val="pct20" w:color="000000" w:fill="FFFFFF"/>
            <w:vAlign w:val="center"/>
          </w:tcPr>
          <w:p w:rsidR="001D4D72" w:rsidRDefault="007B6F49">
            <w:pPr>
              <w:tabs>
                <w:tab w:val="left" w:pos="-1213"/>
                <w:tab w:val="left" w:pos="-720"/>
                <w:tab w:val="left" w:pos="0"/>
                <w:tab w:val="left" w:pos="810"/>
              </w:tabs>
              <w:spacing w:before="60" w:after="60"/>
              <w:jc w:val="center"/>
            </w:pPr>
            <w:r>
              <w:t>Description</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AA-001</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Clark 7,250 HP natural gas-fired two stroke lean burn internal combustion engine (Compressor Engine Model No. TCVD-16, ref. no. 001C-001)</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AA-002</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 xml:space="preserve">Clark 7,250 HP natural gas-fired two </w:t>
            </w:r>
            <w:r>
              <w:t>stroke lean burn internal combustion engine (Compressor Engine Model No. TCVD-16, ref. no. 001C-002)</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AA-003</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Clark 7,250 HP natural gas-fired two stroke lean burn internal combustion engine (Compressor Engine Model No. TCVD-16, ref. no. 001C-003)</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AA-004</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Caterpillar 930 HP (6.5 MMBtu/hr) natural gas-fired four stroke rich burn emergency generator (Model No. G-399, ref. no. 005G-001)</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AA-005</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 xml:space="preserve">Caterpillar 930 HP (6.5 MMBtu/hr) natural gas-fired four stroke rich burn emergency generator (Model No. G-399, ref. </w:t>
            </w:r>
            <w:r>
              <w:t>no. 005G-002)</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AA-007</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Cleaver Brooks 1.5 MMBTU/hr natural gas-fired boiler (ref. no. 005B-001)</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AA-008</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National 7.38 MMBTU/hr natural gas-fired withdrawal heater (Model No. B-22416, ref. no. 002H-001)</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AA-009</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National 7.38 MMBTU/hr natural gas-fired withdr</w:t>
            </w:r>
            <w:r>
              <w:t>awal heater (Model No. B-22416, ref. no. 002H-002)</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AA-010</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National 7.38 MMBTU/hr natural gas-fired withdrawal heater (Model No. B-22416, ref. no. 002H-003)</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AA-011</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National 15.38 MMBTU/hr natural gas-fired withdrawal heater ( ref. no. 002H-004)</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AA-012</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National 15.38 MMBTU/hr natural gas-fired withdrawal heater ( ref. no. 002H-005)</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AA-013</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Smalling 15.29 MMBTU/hr natural gas-fired regeneration heater ( ref. no. 002H-006)</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AA-014</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 xml:space="preserve">Natco 15.0 MMBTU/hr natural gas-fired regeneration heater ( ref. no. </w:t>
            </w:r>
            <w:r>
              <w:t>002H-007)</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AA-015</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Natco 15.0 MMBTU/hr natural gas-fired regeneration heater ( ref. no. 002H-008)</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AA-016</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Natco 21.76 MMBTU/hr natural gas-fired regeneration heater ( ref. no. 002H-009)</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AA-017</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16,800 gallon natural gas condensate tank with a fixed roof (re</w:t>
            </w:r>
            <w:r>
              <w:t>f. no. 003T-019)</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AA-018</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16,800 gallon natural gas condensate tank with a fixed roof (ref. no. 003T-020)</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lastRenderedPageBreak/>
              <w:t>AA-019</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16,800 gallon natural gas condensate tank with a fixed roof (ref. no. 003T-021)</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AA-020</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 xml:space="preserve">16,800 gallon natural gas condensate tank with a fixed </w:t>
            </w:r>
            <w:r>
              <w:t>roof (ref. no. 003T-022)</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AA-021</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16,800 gallon natural gas condensate tank with a fixed roof (ref. no. 003T-023)</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pPr>
            <w:r>
              <w:t>AA-022</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pPr>
            <w:r>
              <w:t>16,800 gallon natural gas condensate tank with a fixed roof (ref. no. 003T-024)</w:t>
            </w:r>
          </w:p>
        </w:tc>
      </w:tr>
      <w:tr w:rsidR="001D4D72">
        <w:tc>
          <w:tcPr>
            <w:tcW w:w="117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jc w:val="center"/>
              <w:rPr>
                <w:bCs/>
              </w:rPr>
            </w:pPr>
            <w:r>
              <w:rPr>
                <w:bCs/>
              </w:rPr>
              <w:t>AA-023</w:t>
            </w:r>
          </w:p>
        </w:tc>
        <w:tc>
          <w:tcPr>
            <w:tcW w:w="8640" w:type="dxa"/>
            <w:tcBorders>
              <w:top w:val="single" w:sz="6" w:space="0" w:color="000000"/>
              <w:left w:val="single" w:sz="6" w:space="0" w:color="000000"/>
              <w:bottom w:val="single" w:sz="6" w:space="0" w:color="000000"/>
              <w:right w:val="single" w:sz="6" w:space="0" w:color="000000"/>
            </w:tcBorders>
          </w:tcPr>
          <w:p w:rsidR="001D4D72" w:rsidRDefault="007B6F49">
            <w:pPr>
              <w:spacing w:before="60" w:after="60"/>
              <w:rPr>
                <w:bCs/>
              </w:rPr>
            </w:pPr>
            <w:r>
              <w:t>Silvalls 11.3 MMBTU/hr natural gas-fired withdr</w:t>
            </w:r>
            <w:r>
              <w:t>awal heater</w:t>
            </w:r>
          </w:p>
        </w:tc>
      </w:tr>
    </w:tbl>
    <w:p w:rsidR="001D4D72" w:rsidRDefault="001D4D72">
      <w:pPr>
        <w:jc w:val="both"/>
        <w:rPr>
          <w:sz w:val="24"/>
          <w:szCs w:val="24"/>
        </w:rPr>
      </w:pPr>
    </w:p>
    <w:p w:rsidR="001D4D72" w:rsidRDefault="007B6F49">
      <w:pPr>
        <w:jc w:val="both"/>
        <w:rPr>
          <w:sz w:val="24"/>
          <w:szCs w:val="24"/>
        </w:rPr>
      </w:pPr>
      <w:r>
        <w:rPr>
          <w:sz w:val="24"/>
          <w:szCs w:val="24"/>
        </w:rPr>
        <w:t xml:space="preserve">The permit renewal is not believed to trigger or require a Prevention of Significant Deterioration (PSD) review.  The facility is a natural gas compressor station with criteria emissions that exceed 250 tons per year.  Since emissions exceed </w:t>
      </w:r>
      <w:r>
        <w:rPr>
          <w:sz w:val="24"/>
          <w:szCs w:val="24"/>
        </w:rPr>
        <w:t xml:space="preserve">the </w:t>
      </w:r>
      <w:smartTag w:uri="urn:schemas-microsoft-com:office:smarttags" w:element="stockticker">
        <w:r>
          <w:rPr>
            <w:sz w:val="24"/>
            <w:szCs w:val="24"/>
          </w:rPr>
          <w:t>PSD</w:t>
        </w:r>
      </w:smartTag>
      <w:r>
        <w:rPr>
          <w:sz w:val="24"/>
          <w:szCs w:val="24"/>
        </w:rPr>
        <w:t xml:space="preserve"> threshold, the facility is classified as an existing major </w:t>
      </w:r>
      <w:smartTag w:uri="urn:schemas-microsoft-com:office:smarttags" w:element="stockticker">
        <w:r>
          <w:rPr>
            <w:sz w:val="24"/>
            <w:szCs w:val="24"/>
          </w:rPr>
          <w:t>PSD</w:t>
        </w:r>
      </w:smartTag>
      <w:r>
        <w:rPr>
          <w:sz w:val="24"/>
          <w:szCs w:val="24"/>
        </w:rPr>
        <w:t xml:space="preserve"> source.  Therefore, any modifications as defined by the </w:t>
      </w:r>
      <w:smartTag w:uri="urn:schemas-microsoft-com:office:smarttags" w:element="stockticker">
        <w:r>
          <w:rPr>
            <w:sz w:val="24"/>
            <w:szCs w:val="24"/>
          </w:rPr>
          <w:t>PSD</w:t>
        </w:r>
      </w:smartTag>
      <w:r>
        <w:rPr>
          <w:sz w:val="24"/>
          <w:szCs w:val="24"/>
        </w:rPr>
        <w:t xml:space="preserve"> regulations require a </w:t>
      </w:r>
      <w:smartTag w:uri="urn:schemas-microsoft-com:office:smarttags" w:element="stockticker">
        <w:r>
          <w:rPr>
            <w:sz w:val="24"/>
            <w:szCs w:val="24"/>
          </w:rPr>
          <w:t>PSD</w:t>
        </w:r>
      </w:smartTag>
      <w:r>
        <w:rPr>
          <w:sz w:val="24"/>
          <w:szCs w:val="24"/>
        </w:rPr>
        <w:t xml:space="preserve"> review.  No modifications to the facility have occurred that are believed to require a PSD review. </w:t>
      </w:r>
      <w:r>
        <w:rPr>
          <w:sz w:val="24"/>
          <w:szCs w:val="24"/>
        </w:rPr>
        <w:t xml:space="preserve"> </w:t>
      </w:r>
    </w:p>
    <w:p w:rsidR="001D4D72" w:rsidRDefault="001D4D72">
      <w:pPr>
        <w:jc w:val="both"/>
        <w:rPr>
          <w:sz w:val="24"/>
          <w:szCs w:val="24"/>
        </w:rPr>
      </w:pPr>
    </w:p>
    <w:bookmarkEnd w:id="1"/>
    <w:p w:rsidR="001D4D72" w:rsidRDefault="001D4D72">
      <w:pPr>
        <w:rPr>
          <w:sz w:val="24"/>
          <w:szCs w:val="24"/>
        </w:rPr>
      </w:pPr>
    </w:p>
    <w:p w:rsidR="001D4D72" w:rsidRDefault="007B6F49">
      <w:pPr>
        <w:spacing w:line="360" w:lineRule="auto"/>
        <w:rPr>
          <w:sz w:val="24"/>
          <w:szCs w:val="24"/>
        </w:rPr>
      </w:pPr>
      <w:r>
        <w:rPr>
          <w:sz w:val="24"/>
          <w:szCs w:val="24"/>
          <w:u w:val="single"/>
        </w:rPr>
        <w:t>TITLE V PROGRAM APPLICABILITY BASIS</w:t>
      </w:r>
    </w:p>
    <w:p w:rsidR="001D4D72" w:rsidRDefault="007B6F49">
      <w:pPr>
        <w:jc w:val="both"/>
        <w:rPr>
          <w:sz w:val="24"/>
          <w:szCs w:val="24"/>
        </w:rPr>
      </w:pPr>
      <w:r>
        <w:rPr>
          <w:sz w:val="24"/>
          <w:szCs w:val="24"/>
        </w:rPr>
        <w:t>The facility’s potentialtoemit exceeds the Title V threshold limits of 100 tons per year (TPY) for Nitrogen Oxides (NO</w:t>
      </w:r>
      <w:r>
        <w:rPr>
          <w:sz w:val="24"/>
          <w:szCs w:val="24"/>
          <w:vertAlign w:val="subscript"/>
        </w:rPr>
        <w:t>X</w:t>
      </w:r>
      <w:r>
        <w:rPr>
          <w:sz w:val="24"/>
          <w:szCs w:val="24"/>
        </w:rPr>
        <w:t xml:space="preserve">), Carbon Monoxide (CO), and Volatile Organic Compounds (VOC) and in excess of the 10 TPY </w:t>
      </w:r>
      <w:r>
        <w:rPr>
          <w:sz w:val="24"/>
          <w:szCs w:val="24"/>
        </w:rPr>
        <w:t>threshold for an individual Hazardous Air Pollutant (HAP) – Formaldehyde and 25 TPY of total HAPs. Therefore, this facility is a major source for Title V and HAP emissions.</w:t>
      </w:r>
    </w:p>
    <w:p w:rsidR="001D4D72" w:rsidRDefault="001D4D72">
      <w:pPr>
        <w:rPr>
          <w:sz w:val="24"/>
          <w:szCs w:val="24"/>
        </w:rPr>
      </w:pPr>
    </w:p>
    <w:p w:rsidR="001D4D72" w:rsidRDefault="001D4D72">
      <w:pPr>
        <w:rPr>
          <w:sz w:val="24"/>
          <w:szCs w:val="24"/>
        </w:rPr>
      </w:pPr>
    </w:p>
    <w:p w:rsidR="001D4D72" w:rsidRDefault="007B6F49">
      <w:pPr>
        <w:spacing w:line="360" w:lineRule="auto"/>
        <w:rPr>
          <w:sz w:val="24"/>
          <w:szCs w:val="24"/>
        </w:rPr>
      </w:pPr>
      <w:r>
        <w:rPr>
          <w:sz w:val="24"/>
          <w:szCs w:val="24"/>
          <w:u w:val="single"/>
        </w:rPr>
        <w:t>LEGAL AND FACTUAL BASIS FOR DRAFT PERMIT CONDITIONS</w:t>
      </w:r>
    </w:p>
    <w:p w:rsidR="001D4D72" w:rsidRDefault="007B6F49">
      <w:pPr>
        <w:jc w:val="both"/>
        <w:rPr>
          <w:sz w:val="24"/>
          <w:szCs w:val="24"/>
        </w:rPr>
      </w:pPr>
      <w:r>
        <w:rPr>
          <w:sz w:val="24"/>
          <w:szCs w:val="24"/>
        </w:rPr>
        <w:t>The State and Federally-enfor</w:t>
      </w:r>
      <w:r>
        <w:rPr>
          <w:sz w:val="24"/>
          <w:szCs w:val="24"/>
        </w:rPr>
        <w:t xml:space="preserve">ceable conditions of Title V Operating Permits are based upon the requirements of the State of Mississippi Air Emissions Operating Permit Regulations for the Purposes of Title V of the Federal Clean Air Act (APC-S-6), and applicable requirements effective </w:t>
      </w:r>
      <w:r>
        <w:rPr>
          <w:sz w:val="24"/>
          <w:szCs w:val="24"/>
        </w:rPr>
        <w:t>upon the date of permit issuance.  Applicable requirement means all of the following as they apply to emissions units in a Title V source:</w:t>
      </w:r>
    </w:p>
    <w:p w:rsidR="001D4D72" w:rsidRDefault="001D4D72">
      <w:pPr>
        <w:jc w:val="both"/>
        <w:rPr>
          <w:sz w:val="24"/>
          <w:szCs w:val="24"/>
        </w:rPr>
      </w:pPr>
    </w:p>
    <w:p w:rsidR="001D4D72" w:rsidRDefault="007B6F49">
      <w:pPr>
        <w:pStyle w:val="1"/>
        <w:ind w:left="600" w:hanging="60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any standard or other requirement set forth in the State Implementation Plan (SIP) approved or promulgated by EPA</w:t>
      </w:r>
      <w:r>
        <w:rPr>
          <w:rFonts w:ascii="Times New Roman" w:hAnsi="Times New Roman" w:cs="Times New Roman"/>
        </w:rPr>
        <w:t xml:space="preserve"> through rulemaking under Title I of the Federal Clean Air Act (Federal Act) including the following:</w:t>
      </w:r>
    </w:p>
    <w:p w:rsidR="001D4D72" w:rsidRDefault="001D4D72">
      <w:pPr>
        <w:jc w:val="both"/>
        <w:rPr>
          <w:sz w:val="24"/>
          <w:szCs w:val="24"/>
        </w:rPr>
      </w:pPr>
    </w:p>
    <w:p w:rsidR="001D4D72" w:rsidRDefault="007B6F49">
      <w:pPr>
        <w:tabs>
          <w:tab w:val="left" w:pos="720"/>
        </w:tabs>
        <w:ind w:left="1200" w:hanging="600"/>
        <w:jc w:val="both"/>
        <w:rPr>
          <w:sz w:val="24"/>
          <w:szCs w:val="24"/>
        </w:rPr>
      </w:pPr>
      <w:r>
        <w:rPr>
          <w:sz w:val="24"/>
          <w:szCs w:val="24"/>
        </w:rPr>
        <w:t>a.</w:t>
      </w:r>
      <w:r>
        <w:rPr>
          <w:sz w:val="24"/>
          <w:szCs w:val="24"/>
        </w:rPr>
        <w:tab/>
        <w:t xml:space="preserve">most of the State of </w:t>
      </w:r>
      <w:smartTag w:uri="urn:schemas-microsoft-com:office:smarttags" w:element="place">
        <w:smartTag w:uri="urn:schemas-microsoft-com:office:smarttags" w:element="State">
          <w:r>
            <w:rPr>
              <w:sz w:val="24"/>
              <w:szCs w:val="24"/>
            </w:rPr>
            <w:t>Mississippi Air Emission Regulations</w:t>
          </w:r>
        </w:smartTag>
      </w:smartTag>
      <w:r>
        <w:rPr>
          <w:sz w:val="24"/>
          <w:szCs w:val="24"/>
        </w:rPr>
        <w:t xml:space="preserve"> for the Prevention, Abatement, and Control of Air Contaminants (APC-S-1) </w:t>
      </w:r>
    </w:p>
    <w:p w:rsidR="001D4D72" w:rsidRDefault="007B6F49">
      <w:pPr>
        <w:tabs>
          <w:tab w:val="left" w:pos="720"/>
        </w:tabs>
        <w:ind w:left="1200" w:hanging="600"/>
        <w:jc w:val="both"/>
        <w:rPr>
          <w:sz w:val="24"/>
          <w:szCs w:val="24"/>
        </w:rPr>
      </w:pPr>
      <w:r>
        <w:rPr>
          <w:sz w:val="24"/>
          <w:szCs w:val="24"/>
        </w:rPr>
        <w:t>b.</w:t>
      </w:r>
      <w:r>
        <w:rPr>
          <w:sz w:val="24"/>
          <w:szCs w:val="24"/>
        </w:rPr>
        <w:tab/>
        <w:t xml:space="preserve">the State of </w:t>
      </w:r>
      <w:smartTag w:uri="urn:schemas-microsoft-com:office:smarttags" w:element="place">
        <w:smartTag w:uri="urn:schemas-microsoft-com:office:smarttags" w:element="State">
          <w:r>
            <w:rPr>
              <w:sz w:val="24"/>
              <w:szCs w:val="24"/>
            </w:rPr>
            <w:t>Mi</w:t>
          </w:r>
          <w:r>
            <w:rPr>
              <w:sz w:val="24"/>
              <w:szCs w:val="24"/>
            </w:rPr>
            <w:t>ssissippi</w:t>
          </w:r>
        </w:smartTag>
      </w:smartTag>
      <w:r>
        <w:rPr>
          <w:sz w:val="24"/>
          <w:szCs w:val="24"/>
        </w:rPr>
        <w:t xml:space="preserve"> Regulations for the Prevention of Air Pollution Emergency Episodes (APC-S-3),</w:t>
      </w:r>
    </w:p>
    <w:p w:rsidR="001D4D72" w:rsidRDefault="007B6F49">
      <w:pPr>
        <w:tabs>
          <w:tab w:val="left" w:pos="720"/>
        </w:tabs>
        <w:ind w:left="1200" w:hanging="600"/>
        <w:jc w:val="both"/>
        <w:rPr>
          <w:sz w:val="24"/>
          <w:szCs w:val="24"/>
        </w:rPr>
      </w:pPr>
      <w:r>
        <w:rPr>
          <w:sz w:val="24"/>
          <w:szCs w:val="24"/>
        </w:rPr>
        <w:t>c.</w:t>
      </w:r>
      <w:r>
        <w:rPr>
          <w:sz w:val="24"/>
          <w:szCs w:val="24"/>
        </w:rPr>
        <w:tab/>
        <w:t xml:space="preserve">the State of </w:t>
      </w:r>
      <w:smartTag w:uri="urn:schemas-microsoft-com:office:smarttags" w:element="place">
        <w:smartTag w:uri="urn:schemas-microsoft-com:office:smarttags" w:element="State">
          <w:r>
            <w:rPr>
              <w:sz w:val="24"/>
              <w:szCs w:val="24"/>
            </w:rPr>
            <w:t>Mississippi Regulations</w:t>
          </w:r>
        </w:smartTag>
      </w:smartTag>
      <w:r>
        <w:rPr>
          <w:sz w:val="24"/>
          <w:szCs w:val="24"/>
        </w:rPr>
        <w:t xml:space="preserve"> for the Prevention of Significant Deterioration of Air Quality (APC-S-5), and 40 CFR Part 52.21 by reference, and</w:t>
      </w:r>
    </w:p>
    <w:p w:rsidR="001D4D72" w:rsidRDefault="007B6F49">
      <w:pPr>
        <w:tabs>
          <w:tab w:val="left" w:pos="720"/>
        </w:tabs>
        <w:ind w:left="1200" w:hanging="600"/>
        <w:jc w:val="both"/>
        <w:rPr>
          <w:sz w:val="24"/>
          <w:szCs w:val="24"/>
        </w:rPr>
      </w:pPr>
      <w:r>
        <w:rPr>
          <w:sz w:val="24"/>
          <w:szCs w:val="24"/>
        </w:rPr>
        <w:lastRenderedPageBreak/>
        <w:t>d.</w:t>
      </w:r>
      <w:r>
        <w:rPr>
          <w:sz w:val="24"/>
          <w:szCs w:val="24"/>
        </w:rPr>
        <w:tab/>
        <w:t>the provisi</w:t>
      </w:r>
      <w:r>
        <w:rPr>
          <w:sz w:val="24"/>
          <w:szCs w:val="24"/>
        </w:rPr>
        <w:t xml:space="preserve">ons of the State of </w:t>
      </w:r>
      <w:smartTag w:uri="urn:schemas-microsoft-com:office:smarttags" w:element="place">
        <w:smartTag w:uri="urn:schemas-microsoft-com:office:smarttags" w:element="State">
          <w:r>
            <w:rPr>
              <w:sz w:val="24"/>
              <w:szCs w:val="24"/>
            </w:rPr>
            <w:t>Mississippi Permit Regulations</w:t>
          </w:r>
        </w:smartTag>
      </w:smartTag>
      <w:r>
        <w:rPr>
          <w:sz w:val="24"/>
          <w:szCs w:val="24"/>
        </w:rPr>
        <w:t xml:space="preserve"> for the Construction and/or Operation of Air Emissions Equipment (APC-S-2), relating to construction permits and synthetic minor operating permits;</w:t>
      </w:r>
    </w:p>
    <w:p w:rsidR="001D4D72" w:rsidRDefault="001D4D72">
      <w:pPr>
        <w:jc w:val="both"/>
        <w:rPr>
          <w:sz w:val="24"/>
          <w:szCs w:val="24"/>
        </w:rPr>
      </w:pPr>
    </w:p>
    <w:p w:rsidR="001D4D72" w:rsidRDefault="007B6F49">
      <w:pPr>
        <w:pStyle w:val="1"/>
        <w:ind w:left="600" w:hanging="60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any term or condition of any construction permits iss</w:t>
      </w:r>
      <w:r>
        <w:rPr>
          <w:rFonts w:ascii="Times New Roman" w:hAnsi="Times New Roman" w:cs="Times New Roman"/>
        </w:rPr>
        <w:t xml:space="preserve">ued pursuant to </w:t>
      </w:r>
      <w:smartTag w:uri="urn:schemas-microsoft-com:office:smarttags" w:element="place">
        <w:smartTag w:uri="urn:schemas-microsoft-com:office:smarttags" w:element="State">
          <w:r>
            <w:rPr>
              <w:rFonts w:ascii="Times New Roman" w:hAnsi="Times New Roman" w:cs="Times New Roman"/>
            </w:rPr>
            <w:t>Mississippi</w:t>
          </w:r>
        </w:smartTag>
      </w:smartTag>
      <w:r>
        <w:rPr>
          <w:rFonts w:ascii="Times New Roman" w:hAnsi="Times New Roman" w:cs="Times New Roman"/>
        </w:rPr>
        <w:t xml:space="preserve"> regulations approved or promulgated through rulemaking under Title I;</w:t>
      </w:r>
    </w:p>
    <w:p w:rsidR="001D4D72" w:rsidRDefault="001D4D72">
      <w:pPr>
        <w:jc w:val="both"/>
        <w:rPr>
          <w:sz w:val="24"/>
          <w:szCs w:val="24"/>
        </w:rPr>
      </w:pPr>
    </w:p>
    <w:p w:rsidR="001D4D72" w:rsidRDefault="007B6F49">
      <w:pPr>
        <w:pStyle w:val="1"/>
        <w:ind w:left="600" w:hanging="60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any standard or other requirement under Section 111 of the Federal Act, including Section 111(d) which includes Title 40, Part 60 of the Code of Federal R</w:t>
      </w:r>
      <w:r>
        <w:rPr>
          <w:rFonts w:ascii="Times New Roman" w:hAnsi="Times New Roman" w:cs="Times New Roman"/>
        </w:rPr>
        <w:t>egulations (40 CFR Part 60) and relevant sections of APC-S-1;</w:t>
      </w:r>
    </w:p>
    <w:p w:rsidR="001D4D72" w:rsidRDefault="001D4D72">
      <w:pPr>
        <w:jc w:val="both"/>
        <w:rPr>
          <w:sz w:val="24"/>
          <w:szCs w:val="24"/>
        </w:rPr>
      </w:pPr>
    </w:p>
    <w:p w:rsidR="001D4D72" w:rsidRDefault="007B6F49">
      <w:pPr>
        <w:pStyle w:val="1"/>
        <w:ind w:left="600" w:hanging="60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any standard or other requirement under Section 112 of the Federal Act, including relevant sections of APC-S-1 and 40 CFR Parts 61, 63, and 68;</w:t>
      </w:r>
    </w:p>
    <w:p w:rsidR="001D4D72" w:rsidRDefault="001D4D72">
      <w:pPr>
        <w:jc w:val="both"/>
        <w:rPr>
          <w:sz w:val="24"/>
          <w:szCs w:val="24"/>
        </w:rPr>
      </w:pPr>
    </w:p>
    <w:p w:rsidR="001D4D72" w:rsidRDefault="007B6F49">
      <w:pPr>
        <w:pStyle w:val="1"/>
        <w:ind w:left="600" w:hanging="60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any standard or other requirement of the a</w:t>
      </w:r>
      <w:r>
        <w:rPr>
          <w:rFonts w:ascii="Times New Roman" w:hAnsi="Times New Roman" w:cs="Times New Roman"/>
        </w:rPr>
        <w:t>cid rain program under Title IV of the Federal Act or the regulations promulgated thereunder, including the State of Mississippi Acid Rain Program Permit Regulations for Purposes of Title IV of the Federal Clean Air Act (APC-S-7)  adopted November 17, 1994</w:t>
      </w:r>
      <w:r>
        <w:rPr>
          <w:rFonts w:ascii="Times New Roman" w:hAnsi="Times New Roman" w:cs="Times New Roman"/>
        </w:rPr>
        <w:t>, and 40 CFR Parts 72, 73, 75, 77, and 78;</w:t>
      </w:r>
    </w:p>
    <w:p w:rsidR="001D4D72" w:rsidRDefault="001D4D72">
      <w:pPr>
        <w:jc w:val="both"/>
        <w:rPr>
          <w:sz w:val="24"/>
          <w:szCs w:val="24"/>
        </w:rPr>
      </w:pPr>
    </w:p>
    <w:p w:rsidR="001D4D72" w:rsidRDefault="007B6F49">
      <w:pPr>
        <w:pStyle w:val="1"/>
        <w:ind w:left="600" w:hanging="60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any requirements established pursuant to Section 504(b) or Section 114(a)(3) of the Federal Act;</w:t>
      </w:r>
    </w:p>
    <w:p w:rsidR="001D4D72" w:rsidRDefault="001D4D72">
      <w:pPr>
        <w:jc w:val="both"/>
        <w:rPr>
          <w:sz w:val="24"/>
          <w:szCs w:val="24"/>
        </w:rPr>
      </w:pPr>
    </w:p>
    <w:p w:rsidR="001D4D72" w:rsidRDefault="007B6F49">
      <w:pPr>
        <w:pStyle w:val="1"/>
        <w:ind w:left="600" w:hanging="60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any standard or other requirement governing solid waste incineration under Section 129 of the Federal Act;</w:t>
      </w:r>
    </w:p>
    <w:p w:rsidR="001D4D72" w:rsidRDefault="001D4D72">
      <w:pPr>
        <w:jc w:val="both"/>
        <w:rPr>
          <w:sz w:val="24"/>
          <w:szCs w:val="24"/>
        </w:rPr>
      </w:pPr>
    </w:p>
    <w:p w:rsidR="001D4D72" w:rsidRDefault="007B6F49">
      <w:pPr>
        <w:pStyle w:val="1"/>
        <w:ind w:left="600" w:hanging="60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ab/>
        <w:t>any standard or other requirement for consumer and commercial products under Section 183(e) of the Federal Act;</w:t>
      </w:r>
    </w:p>
    <w:p w:rsidR="001D4D72" w:rsidRDefault="001D4D72">
      <w:pPr>
        <w:jc w:val="both"/>
        <w:rPr>
          <w:sz w:val="24"/>
          <w:szCs w:val="24"/>
        </w:rPr>
      </w:pPr>
    </w:p>
    <w:p w:rsidR="001D4D72" w:rsidRDefault="007B6F49">
      <w:pPr>
        <w:pStyle w:val="1"/>
        <w:ind w:left="600" w:hanging="600"/>
        <w:jc w:val="both"/>
        <w:rPr>
          <w:rFonts w:ascii="Times New Roman" w:hAnsi="Times New Roman" w:cs="Times New Roman"/>
        </w:rPr>
      </w:pPr>
      <w:r>
        <w:rPr>
          <w:rFonts w:ascii="Times New Roman" w:hAnsi="Times New Roman" w:cs="Times New Roman"/>
        </w:rPr>
        <w:t>9.</w:t>
      </w:r>
      <w:r>
        <w:rPr>
          <w:rFonts w:ascii="Times New Roman" w:hAnsi="Times New Roman" w:cs="Times New Roman"/>
        </w:rPr>
        <w:tab/>
        <w:t>any standard or other requirement for tank vessels under Section 183(f) of the Federal Act;</w:t>
      </w:r>
    </w:p>
    <w:p w:rsidR="001D4D72" w:rsidRDefault="001D4D72">
      <w:pPr>
        <w:jc w:val="both"/>
        <w:rPr>
          <w:sz w:val="24"/>
          <w:szCs w:val="24"/>
        </w:rPr>
      </w:pPr>
    </w:p>
    <w:p w:rsidR="001D4D72" w:rsidRDefault="007B6F49">
      <w:pPr>
        <w:pStyle w:val="1"/>
        <w:ind w:left="600" w:hanging="600"/>
        <w:jc w:val="both"/>
        <w:rPr>
          <w:rFonts w:ascii="Times New Roman" w:hAnsi="Times New Roman" w:cs="Times New Roman"/>
        </w:rPr>
      </w:pPr>
      <w:r>
        <w:rPr>
          <w:rFonts w:ascii="Times New Roman" w:hAnsi="Times New Roman" w:cs="Times New Roman"/>
        </w:rPr>
        <w:t>10.</w:t>
      </w:r>
      <w:r>
        <w:rPr>
          <w:rFonts w:ascii="Times New Roman" w:hAnsi="Times New Roman" w:cs="Times New Roman"/>
        </w:rPr>
        <w:tab/>
        <w:t>any standard or other requirement of the</w:t>
      </w:r>
      <w:r>
        <w:rPr>
          <w:rFonts w:ascii="Times New Roman" w:hAnsi="Times New Roman" w:cs="Times New Roman"/>
        </w:rPr>
        <w:t xml:space="preserve"> program to control air pollution from outer continental shelf sources under Section 328 of the Federal Act;</w:t>
      </w:r>
    </w:p>
    <w:p w:rsidR="001D4D72" w:rsidRDefault="001D4D72">
      <w:pPr>
        <w:jc w:val="both"/>
        <w:rPr>
          <w:sz w:val="24"/>
          <w:szCs w:val="24"/>
        </w:rPr>
      </w:pPr>
    </w:p>
    <w:p w:rsidR="001D4D72" w:rsidRDefault="007B6F49">
      <w:pPr>
        <w:pStyle w:val="1"/>
        <w:ind w:left="600" w:hanging="600"/>
        <w:jc w:val="both"/>
        <w:rPr>
          <w:rFonts w:ascii="Times New Roman" w:hAnsi="Times New Roman" w:cs="Times New Roman"/>
        </w:rPr>
      </w:pPr>
      <w:r>
        <w:rPr>
          <w:rFonts w:ascii="Times New Roman" w:hAnsi="Times New Roman" w:cs="Times New Roman"/>
        </w:rPr>
        <w:t>11.</w:t>
      </w:r>
      <w:r>
        <w:rPr>
          <w:rFonts w:ascii="Times New Roman" w:hAnsi="Times New Roman" w:cs="Times New Roman"/>
        </w:rPr>
        <w:tab/>
        <w:t>any standard or other requirement of the regulations promulgated to protect stratospheric ozone under Title VI of the Federal Act;</w:t>
      </w:r>
    </w:p>
    <w:p w:rsidR="001D4D72" w:rsidRDefault="001D4D72">
      <w:pPr>
        <w:jc w:val="both"/>
        <w:rPr>
          <w:sz w:val="24"/>
          <w:szCs w:val="24"/>
        </w:rPr>
      </w:pPr>
    </w:p>
    <w:p w:rsidR="001D4D72" w:rsidRDefault="007B6F49">
      <w:pPr>
        <w:pStyle w:val="1"/>
        <w:ind w:left="600" w:hanging="600"/>
        <w:jc w:val="both"/>
        <w:rPr>
          <w:rFonts w:ascii="Times New Roman" w:hAnsi="Times New Roman" w:cs="Times New Roman"/>
        </w:rPr>
      </w:pPr>
      <w:r>
        <w:rPr>
          <w:rFonts w:ascii="Times New Roman" w:hAnsi="Times New Roman" w:cs="Times New Roman"/>
        </w:rPr>
        <w:t>12.</w:t>
      </w:r>
      <w:r>
        <w:rPr>
          <w:rFonts w:ascii="Times New Roman" w:hAnsi="Times New Roman" w:cs="Times New Roman"/>
        </w:rPr>
        <w:tab/>
        <w:t>any na</w:t>
      </w:r>
      <w:r>
        <w:rPr>
          <w:rFonts w:ascii="Times New Roman" w:hAnsi="Times New Roman" w:cs="Times New Roman"/>
        </w:rPr>
        <w:t>tional ambient air quality standard or increment or visibility requirement under part C of Title I of the Federal Act.</w:t>
      </w:r>
    </w:p>
    <w:p w:rsidR="001D4D72" w:rsidRDefault="001D4D72">
      <w:pPr>
        <w:jc w:val="both"/>
        <w:rPr>
          <w:sz w:val="24"/>
          <w:szCs w:val="24"/>
        </w:rPr>
      </w:pPr>
    </w:p>
    <w:p w:rsidR="001D4D72" w:rsidRDefault="007B6F49">
      <w:pPr>
        <w:pStyle w:val="BodyText"/>
        <w:widowControl/>
        <w:spacing w:after="0"/>
        <w:jc w:val="both"/>
      </w:pPr>
      <w:r>
        <w:t>Each State and Federally-enforceable condition of the draft Title V Operating Permit references the specific relevant requirements of AP</w:t>
      </w:r>
      <w:r>
        <w:t>C-S-6 or the applicable requirement upon which it is based. Any condition of the draft Title V permit that is enforceable by the State but is not Federally-enforceable is identified in the draft Title V permit as such.</w:t>
      </w:r>
    </w:p>
    <w:p w:rsidR="001D4D72" w:rsidRDefault="001D4D72">
      <w:pPr>
        <w:jc w:val="both"/>
        <w:rPr>
          <w:sz w:val="24"/>
          <w:szCs w:val="24"/>
        </w:rPr>
      </w:pPr>
    </w:p>
    <w:p w:rsidR="001D4D72" w:rsidRDefault="001D4D72">
      <w:pPr>
        <w:jc w:val="both"/>
        <w:rPr>
          <w:sz w:val="24"/>
          <w:szCs w:val="24"/>
        </w:rPr>
      </w:pPr>
    </w:p>
    <w:p w:rsidR="001D4D72" w:rsidRDefault="007B6F49">
      <w:pPr>
        <w:spacing w:line="360" w:lineRule="auto"/>
        <w:jc w:val="both"/>
        <w:rPr>
          <w:sz w:val="24"/>
          <w:szCs w:val="24"/>
        </w:rPr>
      </w:pPr>
      <w:r>
        <w:rPr>
          <w:sz w:val="24"/>
          <w:szCs w:val="24"/>
          <w:u w:val="single"/>
        </w:rPr>
        <w:br w:type="page"/>
      </w:r>
      <w:r>
        <w:rPr>
          <w:sz w:val="24"/>
          <w:szCs w:val="24"/>
          <w:u w:val="single"/>
        </w:rPr>
        <w:lastRenderedPageBreak/>
        <w:t>CAM APPLICABILITY</w:t>
      </w:r>
    </w:p>
    <w:p w:rsidR="001D4D72" w:rsidRDefault="007B6F49">
      <w:pPr>
        <w:jc w:val="both"/>
        <w:rPr>
          <w:sz w:val="24"/>
          <w:szCs w:val="24"/>
        </w:rPr>
      </w:pPr>
      <w:r>
        <w:rPr>
          <w:sz w:val="24"/>
          <w:szCs w:val="24"/>
        </w:rPr>
        <w:t>40 CFR 64 specif</w:t>
      </w:r>
      <w:r>
        <w:rPr>
          <w:sz w:val="24"/>
          <w:szCs w:val="24"/>
        </w:rPr>
        <w:t>ies the requirements for Compliance Assurance Monitoring (CAM).  The general applicability is in 40 CFR 64.2 and requires any Part 70 or Part 71 source to comply with the CAM requirements if the following criteria are met:</w:t>
      </w:r>
    </w:p>
    <w:p w:rsidR="001D4D72" w:rsidRDefault="001D4D72">
      <w:pPr>
        <w:jc w:val="both"/>
        <w:rPr>
          <w:sz w:val="24"/>
          <w:szCs w:val="24"/>
        </w:rPr>
      </w:pPr>
    </w:p>
    <w:p w:rsidR="001D4D72" w:rsidRDefault="007B6F49">
      <w:pPr>
        <w:numPr>
          <w:ilvl w:val="0"/>
          <w:numId w:val="2"/>
        </w:numPr>
        <w:ind w:left="630" w:hanging="630"/>
        <w:jc w:val="both"/>
        <w:rPr>
          <w:sz w:val="24"/>
          <w:szCs w:val="24"/>
        </w:rPr>
      </w:pPr>
      <w:r>
        <w:rPr>
          <w:sz w:val="24"/>
          <w:szCs w:val="24"/>
        </w:rPr>
        <w:t>The unit is subject to an emissi</w:t>
      </w:r>
      <w:r>
        <w:rPr>
          <w:sz w:val="24"/>
          <w:szCs w:val="24"/>
        </w:rPr>
        <w:t>on limitation or standard for a regulated air pollutant other than exemptions under 40 CFR 64.2(b)(1), and</w:t>
      </w:r>
    </w:p>
    <w:p w:rsidR="001D4D72" w:rsidRDefault="001D4D72">
      <w:pPr>
        <w:ind w:left="630"/>
        <w:jc w:val="both"/>
        <w:rPr>
          <w:sz w:val="24"/>
          <w:szCs w:val="24"/>
        </w:rPr>
      </w:pPr>
    </w:p>
    <w:p w:rsidR="001D4D72" w:rsidRDefault="007B6F49">
      <w:pPr>
        <w:numPr>
          <w:ilvl w:val="0"/>
          <w:numId w:val="2"/>
        </w:numPr>
        <w:ind w:left="630" w:hanging="630"/>
        <w:jc w:val="both"/>
        <w:rPr>
          <w:sz w:val="24"/>
          <w:szCs w:val="24"/>
        </w:rPr>
      </w:pPr>
      <w:r>
        <w:rPr>
          <w:sz w:val="24"/>
          <w:szCs w:val="24"/>
        </w:rPr>
        <w:t>The unit uses a control device to meet the standard, and</w:t>
      </w:r>
    </w:p>
    <w:p w:rsidR="001D4D72" w:rsidRDefault="001D4D72">
      <w:pPr>
        <w:ind w:left="630"/>
        <w:jc w:val="both"/>
        <w:rPr>
          <w:sz w:val="24"/>
          <w:szCs w:val="24"/>
        </w:rPr>
      </w:pPr>
    </w:p>
    <w:p w:rsidR="001D4D72" w:rsidRDefault="007B6F49">
      <w:pPr>
        <w:numPr>
          <w:ilvl w:val="0"/>
          <w:numId w:val="2"/>
        </w:numPr>
        <w:ind w:left="630" w:hanging="630"/>
        <w:jc w:val="both"/>
        <w:rPr>
          <w:sz w:val="24"/>
          <w:szCs w:val="24"/>
        </w:rPr>
      </w:pPr>
      <w:r>
        <w:rPr>
          <w:sz w:val="24"/>
          <w:szCs w:val="24"/>
        </w:rPr>
        <w:t>The unit has pre-control emissions exceeding major source thresholds.</w:t>
      </w:r>
    </w:p>
    <w:p w:rsidR="001D4D72" w:rsidRDefault="001D4D72">
      <w:pPr>
        <w:jc w:val="both"/>
        <w:rPr>
          <w:sz w:val="24"/>
          <w:szCs w:val="24"/>
        </w:rPr>
      </w:pPr>
    </w:p>
    <w:p w:rsidR="001D4D72" w:rsidRDefault="007B6F49">
      <w:pPr>
        <w:jc w:val="both"/>
        <w:rPr>
          <w:sz w:val="24"/>
          <w:szCs w:val="24"/>
        </w:rPr>
      </w:pPr>
      <w:r>
        <w:rPr>
          <w:sz w:val="24"/>
          <w:szCs w:val="24"/>
        </w:rPr>
        <w:t xml:space="preserve">The facility has </w:t>
      </w:r>
      <w:r>
        <w:rPr>
          <w:sz w:val="24"/>
          <w:szCs w:val="24"/>
        </w:rPr>
        <w:t>equipment with pre-control emissions exceeding the major source thresholds but does not use control devices to comply with an emission limit or standard.  Therefore, CAM does not apply.</w:t>
      </w:r>
    </w:p>
    <w:p w:rsidR="001D4D72" w:rsidRDefault="001D4D72">
      <w:pPr>
        <w:jc w:val="both"/>
        <w:rPr>
          <w:sz w:val="24"/>
          <w:szCs w:val="24"/>
        </w:rPr>
      </w:pPr>
    </w:p>
    <w:p w:rsidR="001D4D72" w:rsidRDefault="001D4D72">
      <w:pPr>
        <w:jc w:val="both"/>
        <w:rPr>
          <w:sz w:val="24"/>
          <w:szCs w:val="24"/>
        </w:rPr>
      </w:pPr>
    </w:p>
    <w:p w:rsidR="001D4D72" w:rsidRDefault="007B6F49">
      <w:pPr>
        <w:spacing w:line="360" w:lineRule="auto"/>
        <w:jc w:val="both"/>
        <w:rPr>
          <w:sz w:val="24"/>
          <w:szCs w:val="24"/>
          <w:u w:val="single"/>
        </w:rPr>
      </w:pPr>
      <w:r>
        <w:rPr>
          <w:sz w:val="24"/>
          <w:szCs w:val="24"/>
          <w:u w:val="single"/>
        </w:rPr>
        <w:t>NSPS APPLICABILITY</w:t>
      </w:r>
    </w:p>
    <w:p w:rsidR="001D4D72" w:rsidRDefault="007B6F49">
      <w:pPr>
        <w:jc w:val="both"/>
        <w:rPr>
          <w:sz w:val="24"/>
          <w:szCs w:val="24"/>
        </w:rPr>
      </w:pPr>
      <w:r>
        <w:rPr>
          <w:sz w:val="24"/>
          <w:szCs w:val="24"/>
        </w:rPr>
        <w:t>Although the facility operates stationary spark i</w:t>
      </w:r>
      <w:r>
        <w:rPr>
          <w:sz w:val="24"/>
          <w:szCs w:val="24"/>
        </w:rPr>
        <w:t xml:space="preserve">gnition (SI) internal combustion engines, which are potentially subject to 40 CFR 60, Subpart JJJJ, the units are considered existing units and were manufactured prior to the applicability date.  Therefore, Subpart JJJJ is not applicable to these units.  </w:t>
      </w:r>
    </w:p>
    <w:p w:rsidR="001D4D72" w:rsidRDefault="001D4D72">
      <w:pPr>
        <w:jc w:val="both"/>
        <w:rPr>
          <w:sz w:val="24"/>
          <w:szCs w:val="24"/>
        </w:rPr>
      </w:pPr>
    </w:p>
    <w:p w:rsidR="001D4D72" w:rsidRDefault="007B6F49">
      <w:pPr>
        <w:jc w:val="both"/>
        <w:rPr>
          <w:sz w:val="24"/>
          <w:szCs w:val="24"/>
        </w:rPr>
      </w:pPr>
      <w:r>
        <w:rPr>
          <w:sz w:val="24"/>
          <w:szCs w:val="24"/>
        </w:rPr>
        <w:t xml:space="preserve">Emission Point AA-023 is subject to the New Source Performance Standards (NSPS) for Small Industrial-Commercial-Institutional Steam Generating Units, 40 CFR Part 60, Subpart Dc.  This is a new natural gas-fired unit and is required to meet the applicable </w:t>
      </w:r>
      <w:r>
        <w:rPr>
          <w:sz w:val="24"/>
          <w:szCs w:val="24"/>
        </w:rPr>
        <w:t>requirements of this standard upon startup and the General Provisions, 40 CFR Part 63, Subpart A.  (Ref.:  40 CFR 60 Subpart Dc, 60.40c)</w:t>
      </w:r>
    </w:p>
    <w:p w:rsidR="001D4D72" w:rsidRDefault="001D4D72">
      <w:pPr>
        <w:jc w:val="both"/>
        <w:rPr>
          <w:sz w:val="24"/>
          <w:szCs w:val="24"/>
        </w:rPr>
      </w:pPr>
    </w:p>
    <w:p w:rsidR="001D4D72" w:rsidRDefault="007B6F49">
      <w:pPr>
        <w:jc w:val="both"/>
        <w:rPr>
          <w:sz w:val="24"/>
          <w:szCs w:val="24"/>
        </w:rPr>
      </w:pPr>
      <w:r>
        <w:rPr>
          <w:sz w:val="24"/>
          <w:szCs w:val="24"/>
        </w:rPr>
        <w:t>The facility is not believed to be subject to any other NSPS.</w:t>
      </w:r>
    </w:p>
    <w:p w:rsidR="001D4D72" w:rsidRDefault="001D4D72">
      <w:pPr>
        <w:jc w:val="both"/>
        <w:rPr>
          <w:sz w:val="24"/>
          <w:szCs w:val="24"/>
        </w:rPr>
      </w:pPr>
    </w:p>
    <w:p w:rsidR="001D4D72" w:rsidRDefault="001D4D72">
      <w:pPr>
        <w:jc w:val="both"/>
        <w:rPr>
          <w:sz w:val="24"/>
          <w:szCs w:val="24"/>
        </w:rPr>
      </w:pPr>
    </w:p>
    <w:p w:rsidR="001D4D72" w:rsidRDefault="007B6F49">
      <w:pPr>
        <w:spacing w:line="360" w:lineRule="auto"/>
        <w:jc w:val="both"/>
        <w:rPr>
          <w:sz w:val="24"/>
          <w:szCs w:val="24"/>
          <w:u w:val="single"/>
        </w:rPr>
      </w:pPr>
      <w:r>
        <w:rPr>
          <w:sz w:val="24"/>
          <w:szCs w:val="24"/>
          <w:u w:val="single"/>
        </w:rPr>
        <w:t>MACT APPLICABILITY</w:t>
      </w:r>
    </w:p>
    <w:p w:rsidR="001D4D72" w:rsidRDefault="007B6F49">
      <w:pPr>
        <w:jc w:val="both"/>
        <w:rPr>
          <w:sz w:val="24"/>
          <w:szCs w:val="24"/>
        </w:rPr>
      </w:pPr>
      <w:r>
        <w:rPr>
          <w:sz w:val="24"/>
          <w:szCs w:val="24"/>
        </w:rPr>
        <w:t>This facility is a major source for</w:t>
      </w:r>
      <w:r>
        <w:rPr>
          <w:sz w:val="24"/>
          <w:szCs w:val="24"/>
        </w:rPr>
        <w:t xml:space="preserve"> HAP emissions (Total HAPs &gt; 25 TPY).  </w:t>
      </w:r>
    </w:p>
    <w:p w:rsidR="001D4D72" w:rsidRDefault="001D4D72">
      <w:pPr>
        <w:jc w:val="both"/>
        <w:rPr>
          <w:sz w:val="24"/>
          <w:szCs w:val="24"/>
        </w:rPr>
      </w:pPr>
    </w:p>
    <w:p w:rsidR="001D4D72" w:rsidRDefault="007B6F49">
      <w:pPr>
        <w:jc w:val="both"/>
        <w:rPr>
          <w:sz w:val="24"/>
          <w:szCs w:val="24"/>
        </w:rPr>
      </w:pPr>
      <w:r>
        <w:rPr>
          <w:sz w:val="24"/>
          <w:szCs w:val="24"/>
        </w:rPr>
        <w:t>Emission Points AA-001 through AA-003 are subject to the National Emission Standards for Hazardous Air Pollutants (NESHAP) for Stationary Reciprocating Internal Combustion Engines (RICE), 40 CFR Part 63, Subpart ZZZ</w:t>
      </w:r>
      <w:r>
        <w:rPr>
          <w:sz w:val="24"/>
          <w:szCs w:val="24"/>
        </w:rPr>
        <w:t>Z.  These units are existing stationary RICE’s that are 2-stroke lean burn units and are not required to meet the requirements of this standard or the General Provisions, 40 CFR Part 63, Subpart A.  (Ref.:  40 CFR 63.6585 &amp; 63.6590(b)(3))</w:t>
      </w:r>
    </w:p>
    <w:p w:rsidR="001D4D72" w:rsidRDefault="001D4D72">
      <w:pPr>
        <w:jc w:val="both"/>
        <w:rPr>
          <w:sz w:val="24"/>
          <w:szCs w:val="24"/>
        </w:rPr>
      </w:pPr>
    </w:p>
    <w:p w:rsidR="001D4D72" w:rsidRDefault="007B6F49">
      <w:pPr>
        <w:jc w:val="both"/>
        <w:rPr>
          <w:sz w:val="24"/>
          <w:szCs w:val="24"/>
        </w:rPr>
      </w:pPr>
      <w:r>
        <w:rPr>
          <w:sz w:val="24"/>
          <w:szCs w:val="24"/>
        </w:rPr>
        <w:t xml:space="preserve">Emission Points </w:t>
      </w:r>
      <w:r>
        <w:rPr>
          <w:sz w:val="24"/>
          <w:szCs w:val="24"/>
        </w:rPr>
        <w:t>AA-004 and AA-005 are subject to the NESHAP for Stationary RICE, 40 CFR Part 63, Subpart ZZZZ.  The units are existing stationary RICE that are 4-stroke rich burn units and are also emergency use units that are not required to meet the requirements of this</w:t>
      </w:r>
      <w:r>
        <w:rPr>
          <w:sz w:val="24"/>
          <w:szCs w:val="24"/>
        </w:rPr>
        <w:t xml:space="preserve"> standard, except for 40 CFR 63.6640(f)(2), or General Provisions, 40 CFR Part 63, Subpart A.(Ref.: 40 CFR 63.6585, 63.6590(b)(3), &amp; 63.6640(f)(2))</w:t>
      </w:r>
    </w:p>
    <w:p w:rsidR="001D4D72" w:rsidRDefault="001D4D72">
      <w:pPr>
        <w:jc w:val="both"/>
        <w:rPr>
          <w:sz w:val="24"/>
          <w:szCs w:val="24"/>
        </w:rPr>
      </w:pPr>
    </w:p>
    <w:p w:rsidR="001D4D72" w:rsidRDefault="007B6F49">
      <w:pPr>
        <w:jc w:val="both"/>
        <w:rPr>
          <w:sz w:val="24"/>
          <w:szCs w:val="24"/>
        </w:rPr>
      </w:pPr>
      <w:r>
        <w:rPr>
          <w:sz w:val="24"/>
          <w:szCs w:val="24"/>
        </w:rPr>
        <w:t>Emission Points AA-007 through AA-016 are subject to the National Emission Standards for Hazardous Air Poll</w:t>
      </w:r>
      <w:r>
        <w:rPr>
          <w:sz w:val="24"/>
          <w:szCs w:val="24"/>
        </w:rPr>
        <w:t>utants (NESHAP) for Major Sources: Industrial, Commercial, and Institutional Boilers and Process Heaters, 40 CFR Part 63, Subpart DDDDD.  These units are existing natural gas-fired units and are required to meet the applicable requirements of this standard</w:t>
      </w:r>
      <w:r>
        <w:rPr>
          <w:sz w:val="24"/>
          <w:szCs w:val="24"/>
        </w:rPr>
        <w:t xml:space="preserve"> by March 21, 2014 and the General Provisions, 40 CFR Part 63, Subpart A.  (Ref.:  40 CFR 63 Subpart DDDDD, 63.7480, 63.7485, 63.7490(a)(1), and 63.7495(b))</w:t>
      </w:r>
    </w:p>
    <w:p w:rsidR="001D4D72" w:rsidRDefault="001D4D72">
      <w:pPr>
        <w:jc w:val="both"/>
        <w:rPr>
          <w:sz w:val="24"/>
          <w:szCs w:val="24"/>
        </w:rPr>
      </w:pPr>
    </w:p>
    <w:p w:rsidR="001D4D72" w:rsidRDefault="007B6F49">
      <w:pPr>
        <w:jc w:val="both"/>
        <w:rPr>
          <w:sz w:val="24"/>
          <w:szCs w:val="24"/>
        </w:rPr>
      </w:pPr>
      <w:r>
        <w:rPr>
          <w:sz w:val="24"/>
          <w:szCs w:val="24"/>
        </w:rPr>
        <w:t>Emission Point AA-023 is subject to the NESHAP for Major Sources: Industrial, Commercial, and Inst</w:t>
      </w:r>
      <w:r>
        <w:rPr>
          <w:sz w:val="24"/>
          <w:szCs w:val="24"/>
        </w:rPr>
        <w:t>itutional Boilers and Process Heaters, 40 CFR Part 63, Subpart DDDDD.  This is a new natural gas-fired unit and is required to meet the applicable requirements of this standard upon startup and the General Provisions, 40 CFR Part 63, Subpart A.  (Ref.:  40</w:t>
      </w:r>
      <w:r>
        <w:rPr>
          <w:sz w:val="24"/>
          <w:szCs w:val="24"/>
        </w:rPr>
        <w:t xml:space="preserve"> CFR 63 Subpart DDDDD, 63.7480, 63.7485, 63.7490(a)(2), and 63.7495(a))</w:t>
      </w:r>
    </w:p>
    <w:p w:rsidR="001D4D72" w:rsidRDefault="001D4D72">
      <w:pPr>
        <w:jc w:val="both"/>
        <w:rPr>
          <w:sz w:val="24"/>
          <w:szCs w:val="24"/>
        </w:rPr>
      </w:pPr>
    </w:p>
    <w:p w:rsidR="001D4D72" w:rsidRDefault="007B6F49">
      <w:pPr>
        <w:jc w:val="both"/>
        <w:rPr>
          <w:sz w:val="24"/>
          <w:szCs w:val="24"/>
        </w:rPr>
      </w:pPr>
      <w:r>
        <w:rPr>
          <w:sz w:val="24"/>
          <w:szCs w:val="24"/>
        </w:rPr>
        <w:t xml:space="preserve">40 CFR 63, Subparts HH (Oil and Gas Production) and HHH (Natural Gas Transmission and Storage) are potentially applicable to site operations and equipment since the site is a major </w:t>
      </w:r>
      <w:r>
        <w:rPr>
          <w:sz w:val="24"/>
          <w:szCs w:val="24"/>
        </w:rPr>
        <w:t>source of HAPs and involves natural gas transmission.  However, Subpart HH does not apply because the facility does not produce oil or natural gas.  With respect to Subpart HHH, the site is not a natural gas storage facility (transferred only).  The site i</w:t>
      </w:r>
      <w:r>
        <w:rPr>
          <w:sz w:val="24"/>
          <w:szCs w:val="24"/>
        </w:rPr>
        <w:t>s also not considered a transmission facility, since 63.1270(b) &amp; (c) specifies that “the affected source is each glycol dehydration unit”.  The site does not utilize glycol dehydrators, and therefore is not subject to Subpart HHH.</w:t>
      </w:r>
    </w:p>
    <w:p w:rsidR="001D4D72" w:rsidRDefault="001D4D72">
      <w:pPr>
        <w:jc w:val="both"/>
        <w:rPr>
          <w:sz w:val="24"/>
          <w:szCs w:val="24"/>
        </w:rPr>
      </w:pPr>
    </w:p>
    <w:p w:rsidR="001D4D72" w:rsidRDefault="007B6F49">
      <w:pPr>
        <w:jc w:val="both"/>
        <w:rPr>
          <w:sz w:val="24"/>
          <w:szCs w:val="24"/>
        </w:rPr>
      </w:pPr>
      <w:r>
        <w:rPr>
          <w:sz w:val="24"/>
          <w:szCs w:val="24"/>
        </w:rPr>
        <w:t>The facility is not bel</w:t>
      </w:r>
      <w:r>
        <w:rPr>
          <w:sz w:val="24"/>
          <w:szCs w:val="24"/>
        </w:rPr>
        <w:t>ieved to be subject to any other NESHAP.</w:t>
      </w:r>
    </w:p>
    <w:p w:rsidR="001D4D72" w:rsidRDefault="001D4D72">
      <w:pPr>
        <w:jc w:val="both"/>
        <w:rPr>
          <w:sz w:val="24"/>
          <w:szCs w:val="24"/>
        </w:rPr>
      </w:pPr>
    </w:p>
    <w:p w:rsidR="001D4D72" w:rsidRDefault="001D4D72">
      <w:pPr>
        <w:jc w:val="both"/>
        <w:rPr>
          <w:sz w:val="24"/>
          <w:szCs w:val="24"/>
        </w:rPr>
      </w:pPr>
    </w:p>
    <w:p w:rsidR="001D4D72" w:rsidRDefault="007B6F49">
      <w:pPr>
        <w:spacing w:line="360" w:lineRule="auto"/>
        <w:jc w:val="both"/>
        <w:rPr>
          <w:sz w:val="24"/>
          <w:szCs w:val="24"/>
          <w:u w:val="single"/>
        </w:rPr>
      </w:pPr>
      <w:r>
        <w:rPr>
          <w:sz w:val="24"/>
          <w:szCs w:val="24"/>
          <w:u w:val="single"/>
        </w:rPr>
        <w:t>SPECIFIC APPLICABLE REQUIREMENTS</w:t>
      </w:r>
    </w:p>
    <w:tbl>
      <w:tblPr>
        <w:tblW w:w="0" w:type="auto"/>
        <w:jc w:val="center"/>
        <w:tblLayout w:type="fixed"/>
        <w:tblCellMar>
          <w:left w:w="62" w:type="dxa"/>
          <w:right w:w="62" w:type="dxa"/>
        </w:tblCellMar>
        <w:tblLook w:val="0000" w:firstRow="0" w:lastRow="0" w:firstColumn="0" w:lastColumn="0" w:noHBand="0" w:noVBand="0"/>
      </w:tblPr>
      <w:tblGrid>
        <w:gridCol w:w="2159"/>
        <w:gridCol w:w="1170"/>
        <w:gridCol w:w="2970"/>
        <w:gridCol w:w="3059"/>
      </w:tblGrid>
      <w:tr w:rsidR="001D4D72">
        <w:trPr>
          <w:cantSplit/>
          <w:tblHeader/>
          <w:jc w:val="center"/>
        </w:trPr>
        <w:tc>
          <w:tcPr>
            <w:tcW w:w="9358" w:type="dxa"/>
            <w:gridSpan w:val="4"/>
            <w:tcBorders>
              <w:top w:val="double" w:sz="6" w:space="0" w:color="auto"/>
              <w:left w:val="double" w:sz="6" w:space="0" w:color="auto"/>
              <w:bottom w:val="nil"/>
              <w:right w:val="double" w:sz="6" w:space="0" w:color="auto"/>
            </w:tcBorders>
            <w:shd w:val="pct20" w:color="auto" w:fill="FFFFFF"/>
          </w:tcPr>
          <w:p w:rsidR="001D4D72" w:rsidRDefault="007B6F49">
            <w:pPr>
              <w:spacing w:before="120" w:after="120"/>
              <w:jc w:val="center"/>
            </w:pPr>
            <w:r>
              <w:br w:type="page"/>
            </w:r>
            <w:r>
              <w:rPr>
                <w:bCs/>
              </w:rPr>
              <w:t>EMISSION LIMITS</w:t>
            </w:r>
          </w:p>
        </w:tc>
      </w:tr>
      <w:tr w:rsidR="001D4D72">
        <w:trPr>
          <w:cantSplit/>
          <w:trHeight w:val="210"/>
          <w:tblHeader/>
          <w:jc w:val="center"/>
        </w:trPr>
        <w:tc>
          <w:tcPr>
            <w:tcW w:w="2159" w:type="dxa"/>
            <w:tcBorders>
              <w:top w:val="single" w:sz="6" w:space="0" w:color="auto"/>
              <w:left w:val="double" w:sz="6" w:space="0" w:color="auto"/>
              <w:bottom w:val="double" w:sz="6" w:space="0" w:color="auto"/>
              <w:right w:val="nil"/>
            </w:tcBorders>
            <w:shd w:val="pct20" w:color="auto" w:fill="FFFFFF"/>
          </w:tcPr>
          <w:p w:rsidR="001D4D72" w:rsidRDefault="007B6F49">
            <w:pPr>
              <w:spacing w:before="120" w:after="120"/>
              <w:jc w:val="center"/>
            </w:pPr>
            <w:r>
              <w:t>Emission Point No.</w:t>
            </w:r>
          </w:p>
        </w:tc>
        <w:tc>
          <w:tcPr>
            <w:tcW w:w="1170" w:type="dxa"/>
            <w:tcBorders>
              <w:top w:val="single" w:sz="6" w:space="0" w:color="auto"/>
              <w:left w:val="single" w:sz="6" w:space="0" w:color="auto"/>
              <w:right w:val="nil"/>
            </w:tcBorders>
            <w:shd w:val="pct20" w:color="auto" w:fill="FFFFFF"/>
          </w:tcPr>
          <w:p w:rsidR="001D4D72" w:rsidRDefault="007B6F49">
            <w:pPr>
              <w:spacing w:before="120" w:after="120"/>
              <w:jc w:val="center"/>
            </w:pPr>
            <w:r>
              <w:t>Pollutant/Parameter</w:t>
            </w:r>
          </w:p>
        </w:tc>
        <w:tc>
          <w:tcPr>
            <w:tcW w:w="2970" w:type="dxa"/>
            <w:tcBorders>
              <w:top w:val="single" w:sz="6" w:space="0" w:color="auto"/>
              <w:left w:val="single" w:sz="6" w:space="0" w:color="auto"/>
              <w:right w:val="nil"/>
            </w:tcBorders>
            <w:shd w:val="pct20" w:color="auto" w:fill="FFFFFF"/>
          </w:tcPr>
          <w:p w:rsidR="001D4D72" w:rsidRDefault="007B6F49">
            <w:pPr>
              <w:spacing w:before="120" w:after="120"/>
              <w:jc w:val="center"/>
            </w:pPr>
            <w:r>
              <w:t>Draft Permit Emission Limits</w:t>
            </w:r>
          </w:p>
        </w:tc>
        <w:tc>
          <w:tcPr>
            <w:tcW w:w="3059" w:type="dxa"/>
            <w:tcBorders>
              <w:top w:val="single" w:sz="6" w:space="0" w:color="auto"/>
              <w:left w:val="single" w:sz="6" w:space="0" w:color="auto"/>
              <w:right w:val="double" w:sz="6" w:space="0" w:color="auto"/>
            </w:tcBorders>
            <w:shd w:val="pct20" w:color="auto" w:fill="FFFFFF"/>
          </w:tcPr>
          <w:p w:rsidR="001D4D72" w:rsidRDefault="007B6F49">
            <w:pPr>
              <w:spacing w:before="120" w:after="120"/>
              <w:jc w:val="center"/>
            </w:pPr>
            <w:r>
              <w:t>Monitoring  Requirements</w:t>
            </w:r>
          </w:p>
        </w:tc>
      </w:tr>
      <w:tr w:rsidR="001D4D72">
        <w:trPr>
          <w:cantSplit/>
          <w:trHeight w:val="403"/>
          <w:jc w:val="center"/>
        </w:trPr>
        <w:tc>
          <w:tcPr>
            <w:tcW w:w="2159" w:type="dxa"/>
            <w:tcBorders>
              <w:top w:val="double" w:sz="6" w:space="0" w:color="auto"/>
              <w:left w:val="single" w:sz="6" w:space="0" w:color="auto"/>
              <w:bottom w:val="single" w:sz="4" w:space="0" w:color="auto"/>
              <w:right w:val="nil"/>
            </w:tcBorders>
            <w:shd w:val="clear" w:color="auto" w:fill="FFFFFF"/>
          </w:tcPr>
          <w:p w:rsidR="001D4D72" w:rsidRDefault="007B6F49">
            <w:pPr>
              <w:tabs>
                <w:tab w:val="left" w:pos="-1213"/>
                <w:tab w:val="left" w:pos="-720"/>
                <w:tab w:val="left" w:pos="0"/>
                <w:tab w:val="left" w:pos="810"/>
              </w:tabs>
              <w:spacing w:before="120" w:after="120"/>
              <w:jc w:val="center"/>
            </w:pPr>
            <w:r>
              <w:t>AA-001 through AA-003, AA-011 through AA-016, &amp; AA-023</w:t>
            </w:r>
          </w:p>
        </w:tc>
        <w:tc>
          <w:tcPr>
            <w:tcW w:w="1170" w:type="dxa"/>
            <w:tcBorders>
              <w:top w:val="double" w:sz="6" w:space="0" w:color="auto"/>
              <w:left w:val="single" w:sz="6" w:space="0" w:color="auto"/>
              <w:bottom w:val="single" w:sz="6" w:space="0" w:color="auto"/>
              <w:right w:val="nil"/>
            </w:tcBorders>
            <w:shd w:val="clear" w:color="auto" w:fill="FFFFFF"/>
          </w:tcPr>
          <w:p w:rsidR="001D4D72" w:rsidRDefault="007B6F49">
            <w:pPr>
              <w:tabs>
                <w:tab w:val="left" w:pos="-1213"/>
                <w:tab w:val="left" w:pos="-720"/>
                <w:tab w:val="left" w:pos="0"/>
                <w:tab w:val="left" w:pos="810"/>
              </w:tabs>
              <w:spacing w:before="120" w:after="120"/>
              <w:jc w:val="center"/>
            </w:pPr>
            <w:r>
              <w:rPr>
                <w:bCs/>
                <w:color w:val="000000"/>
              </w:rPr>
              <w:t>PM/PM</w:t>
            </w:r>
            <w:r>
              <w:rPr>
                <w:bCs/>
                <w:color w:val="000000"/>
                <w:vertAlign w:val="subscript"/>
              </w:rPr>
              <w:t>10</w:t>
            </w:r>
          </w:p>
        </w:tc>
        <w:tc>
          <w:tcPr>
            <w:tcW w:w="2970" w:type="dxa"/>
            <w:tcBorders>
              <w:top w:val="double" w:sz="6" w:space="0" w:color="auto"/>
              <w:left w:val="single" w:sz="6" w:space="0" w:color="auto"/>
              <w:bottom w:val="single" w:sz="6" w:space="0" w:color="auto"/>
              <w:right w:val="nil"/>
            </w:tcBorders>
            <w:shd w:val="clear" w:color="auto" w:fill="FFFFFF"/>
          </w:tcPr>
          <w:p w:rsidR="001D4D72" w:rsidRDefault="007B6F49">
            <w:pPr>
              <w:tabs>
                <w:tab w:val="left" w:pos="-1213"/>
                <w:tab w:val="left" w:pos="-720"/>
                <w:tab w:val="left" w:pos="0"/>
                <w:tab w:val="left" w:pos="810"/>
              </w:tabs>
              <w:spacing w:before="120" w:after="120"/>
            </w:pPr>
            <w:r>
              <w:t xml:space="preserve">E = </w:t>
            </w:r>
            <w:r>
              <w:t>0.8808*(I)</w:t>
            </w:r>
            <w:r>
              <w:rPr>
                <w:vertAlign w:val="superscript"/>
              </w:rPr>
              <w:t>-0.1667</w:t>
            </w:r>
          </w:p>
        </w:tc>
        <w:tc>
          <w:tcPr>
            <w:tcW w:w="3059" w:type="dxa"/>
            <w:vMerge w:val="restart"/>
            <w:tcBorders>
              <w:top w:val="double" w:sz="6" w:space="0" w:color="auto"/>
              <w:left w:val="single" w:sz="6" w:space="0" w:color="auto"/>
              <w:right w:val="single" w:sz="6" w:space="0" w:color="auto"/>
            </w:tcBorders>
            <w:shd w:val="clear" w:color="auto" w:fill="FFFFFF"/>
          </w:tcPr>
          <w:p w:rsidR="001D4D72" w:rsidRDefault="007B6F49">
            <w:pPr>
              <w:spacing w:before="120" w:after="120"/>
            </w:pPr>
            <w:r>
              <w:rPr>
                <w:bCs/>
                <w:color w:val="000000"/>
              </w:rPr>
              <w:t>Monitor and record monthly the type and quantity of natural gas combusted, including monthly gas analysis with sulfur content and heating value.</w:t>
            </w:r>
          </w:p>
        </w:tc>
      </w:tr>
      <w:tr w:rsidR="001D4D72">
        <w:trPr>
          <w:cantSplit/>
          <w:trHeight w:val="403"/>
          <w:jc w:val="center"/>
        </w:trPr>
        <w:tc>
          <w:tcPr>
            <w:tcW w:w="2159" w:type="dxa"/>
            <w:tcBorders>
              <w:top w:val="single" w:sz="4" w:space="0" w:color="auto"/>
              <w:left w:val="single" w:sz="6" w:space="0" w:color="auto"/>
              <w:bottom w:val="single" w:sz="4" w:space="0" w:color="auto"/>
              <w:right w:val="nil"/>
            </w:tcBorders>
            <w:shd w:val="clear" w:color="auto" w:fill="FFFFFF"/>
          </w:tcPr>
          <w:p w:rsidR="001D4D72" w:rsidRDefault="007B6F49">
            <w:pPr>
              <w:tabs>
                <w:tab w:val="left" w:pos="-1213"/>
                <w:tab w:val="left" w:pos="-720"/>
                <w:tab w:val="left" w:pos="0"/>
                <w:tab w:val="left" w:pos="810"/>
              </w:tabs>
              <w:spacing w:before="120" w:after="120"/>
              <w:jc w:val="center"/>
            </w:pPr>
            <w:r>
              <w:t>AA-004 through AA-010</w:t>
            </w:r>
          </w:p>
        </w:tc>
        <w:tc>
          <w:tcPr>
            <w:tcW w:w="1170" w:type="dxa"/>
            <w:tcBorders>
              <w:top w:val="single" w:sz="6" w:space="0" w:color="auto"/>
              <w:left w:val="single" w:sz="6" w:space="0" w:color="auto"/>
              <w:bottom w:val="single" w:sz="6" w:space="0" w:color="auto"/>
              <w:right w:val="nil"/>
            </w:tcBorders>
            <w:shd w:val="clear" w:color="auto" w:fill="FFFFFF"/>
          </w:tcPr>
          <w:p w:rsidR="001D4D72" w:rsidRDefault="007B6F49">
            <w:pPr>
              <w:tabs>
                <w:tab w:val="left" w:pos="-1213"/>
                <w:tab w:val="left" w:pos="-720"/>
                <w:tab w:val="left" w:pos="0"/>
                <w:tab w:val="left" w:pos="810"/>
              </w:tabs>
              <w:spacing w:before="120" w:after="120"/>
              <w:jc w:val="center"/>
            </w:pPr>
            <w:r>
              <w:rPr>
                <w:bCs/>
                <w:color w:val="000000"/>
              </w:rPr>
              <w:t>PM/PM</w:t>
            </w:r>
            <w:r>
              <w:rPr>
                <w:bCs/>
                <w:color w:val="000000"/>
                <w:vertAlign w:val="subscript"/>
              </w:rPr>
              <w:t>10</w:t>
            </w:r>
          </w:p>
        </w:tc>
        <w:tc>
          <w:tcPr>
            <w:tcW w:w="2970" w:type="dxa"/>
            <w:tcBorders>
              <w:top w:val="single" w:sz="6" w:space="0" w:color="auto"/>
              <w:left w:val="single" w:sz="6" w:space="0" w:color="auto"/>
              <w:bottom w:val="single" w:sz="6" w:space="0" w:color="auto"/>
              <w:right w:val="nil"/>
            </w:tcBorders>
            <w:shd w:val="clear" w:color="auto" w:fill="FFFFFF"/>
          </w:tcPr>
          <w:p w:rsidR="001D4D72" w:rsidRDefault="007B6F49">
            <w:pPr>
              <w:tabs>
                <w:tab w:val="left" w:pos="-1213"/>
                <w:tab w:val="left" w:pos="-720"/>
                <w:tab w:val="left" w:pos="0"/>
                <w:tab w:val="left" w:pos="810"/>
              </w:tabs>
              <w:spacing w:before="120" w:after="120"/>
            </w:pPr>
            <w:r>
              <w:t xml:space="preserve">0.6 lb/MMBTU </w:t>
            </w:r>
          </w:p>
        </w:tc>
        <w:tc>
          <w:tcPr>
            <w:tcW w:w="3059" w:type="dxa"/>
            <w:vMerge/>
            <w:tcBorders>
              <w:left w:val="single" w:sz="6" w:space="0" w:color="auto"/>
              <w:right w:val="single" w:sz="6" w:space="0" w:color="auto"/>
            </w:tcBorders>
            <w:shd w:val="clear" w:color="auto" w:fill="FFFFFF"/>
          </w:tcPr>
          <w:p w:rsidR="001D4D72" w:rsidRDefault="001D4D72">
            <w:pPr>
              <w:spacing w:before="120" w:after="120"/>
            </w:pPr>
          </w:p>
        </w:tc>
      </w:tr>
      <w:tr w:rsidR="001D4D72">
        <w:trPr>
          <w:cantSplit/>
          <w:trHeight w:val="498"/>
          <w:jc w:val="center"/>
        </w:trPr>
        <w:tc>
          <w:tcPr>
            <w:tcW w:w="2159" w:type="dxa"/>
            <w:tcBorders>
              <w:top w:val="single" w:sz="4" w:space="0" w:color="auto"/>
              <w:left w:val="single" w:sz="6" w:space="0" w:color="auto"/>
              <w:bottom w:val="single" w:sz="4" w:space="0" w:color="auto"/>
              <w:right w:val="nil"/>
            </w:tcBorders>
            <w:shd w:val="clear" w:color="auto" w:fill="FFFFFF"/>
          </w:tcPr>
          <w:p w:rsidR="001D4D72" w:rsidRDefault="007B6F49">
            <w:pPr>
              <w:tabs>
                <w:tab w:val="left" w:pos="-1213"/>
                <w:tab w:val="left" w:pos="-720"/>
                <w:tab w:val="left" w:pos="0"/>
                <w:tab w:val="left" w:pos="810"/>
              </w:tabs>
              <w:spacing w:before="120" w:after="120"/>
              <w:jc w:val="center"/>
            </w:pPr>
            <w:r>
              <w:t>AA-001 through AA-016&amp; AA-023</w:t>
            </w:r>
          </w:p>
        </w:tc>
        <w:tc>
          <w:tcPr>
            <w:tcW w:w="1170" w:type="dxa"/>
            <w:tcBorders>
              <w:top w:val="single" w:sz="6" w:space="0" w:color="auto"/>
              <w:left w:val="single" w:sz="6" w:space="0" w:color="auto"/>
              <w:bottom w:val="single" w:sz="6" w:space="0" w:color="auto"/>
              <w:right w:val="nil"/>
            </w:tcBorders>
            <w:shd w:val="clear" w:color="auto" w:fill="FFFFFF"/>
          </w:tcPr>
          <w:p w:rsidR="001D4D72" w:rsidRDefault="007B6F49">
            <w:pPr>
              <w:tabs>
                <w:tab w:val="left" w:pos="-1213"/>
                <w:tab w:val="left" w:pos="-720"/>
                <w:tab w:val="left" w:pos="0"/>
                <w:tab w:val="left" w:pos="810"/>
              </w:tabs>
              <w:spacing w:before="120" w:after="120"/>
              <w:jc w:val="center"/>
            </w:pPr>
            <w:r>
              <w:t>SO</w:t>
            </w:r>
            <w:r>
              <w:rPr>
                <w:vertAlign w:val="subscript"/>
              </w:rPr>
              <w:t>2</w:t>
            </w:r>
          </w:p>
        </w:tc>
        <w:tc>
          <w:tcPr>
            <w:tcW w:w="2970" w:type="dxa"/>
            <w:tcBorders>
              <w:top w:val="single" w:sz="6" w:space="0" w:color="auto"/>
              <w:left w:val="single" w:sz="6" w:space="0" w:color="auto"/>
              <w:bottom w:val="single" w:sz="6" w:space="0" w:color="auto"/>
              <w:right w:val="nil"/>
            </w:tcBorders>
            <w:shd w:val="clear" w:color="auto" w:fill="FFFFFF"/>
          </w:tcPr>
          <w:p w:rsidR="001D4D72" w:rsidRDefault="007B6F49">
            <w:pPr>
              <w:tabs>
                <w:tab w:val="left" w:pos="-1213"/>
                <w:tab w:val="left" w:pos="-720"/>
                <w:tab w:val="left" w:pos="0"/>
                <w:tab w:val="left" w:pos="810"/>
              </w:tabs>
              <w:spacing w:before="120" w:after="120"/>
            </w:pPr>
            <w:r>
              <w:t xml:space="preserve">4.8 lbs/MMBTU </w:t>
            </w:r>
          </w:p>
        </w:tc>
        <w:tc>
          <w:tcPr>
            <w:tcW w:w="3059" w:type="dxa"/>
            <w:vMerge/>
            <w:tcBorders>
              <w:left w:val="single" w:sz="6" w:space="0" w:color="auto"/>
              <w:right w:val="single" w:sz="6" w:space="0" w:color="auto"/>
            </w:tcBorders>
            <w:shd w:val="clear" w:color="auto" w:fill="FFFFFF"/>
          </w:tcPr>
          <w:p w:rsidR="001D4D72" w:rsidRDefault="001D4D72">
            <w:pPr>
              <w:spacing w:before="120" w:after="120"/>
            </w:pPr>
          </w:p>
        </w:tc>
      </w:tr>
      <w:tr w:rsidR="001D4D72">
        <w:trPr>
          <w:cantSplit/>
          <w:trHeight w:val="403"/>
          <w:jc w:val="center"/>
        </w:trPr>
        <w:tc>
          <w:tcPr>
            <w:tcW w:w="2159" w:type="dxa"/>
            <w:tcBorders>
              <w:top w:val="single" w:sz="4" w:space="0" w:color="auto"/>
              <w:left w:val="single" w:sz="6" w:space="0" w:color="auto"/>
              <w:bottom w:val="single" w:sz="6" w:space="0" w:color="auto"/>
              <w:right w:val="nil"/>
            </w:tcBorders>
            <w:shd w:val="clear" w:color="auto" w:fill="FFFFFF"/>
          </w:tcPr>
          <w:p w:rsidR="001D4D72" w:rsidRDefault="007B6F49">
            <w:pPr>
              <w:spacing w:before="120" w:after="120"/>
              <w:jc w:val="center"/>
              <w:rPr>
                <w:highlight w:val="yellow"/>
              </w:rPr>
            </w:pPr>
            <w:r>
              <w:t>AA-001 through AA-016</w:t>
            </w:r>
          </w:p>
        </w:tc>
        <w:tc>
          <w:tcPr>
            <w:tcW w:w="1170" w:type="dxa"/>
            <w:tcBorders>
              <w:top w:val="single" w:sz="6" w:space="0" w:color="auto"/>
              <w:left w:val="single" w:sz="6" w:space="0" w:color="auto"/>
              <w:bottom w:val="single" w:sz="6" w:space="0" w:color="auto"/>
              <w:right w:val="nil"/>
            </w:tcBorders>
            <w:shd w:val="clear" w:color="auto" w:fill="FFFFFF"/>
          </w:tcPr>
          <w:p w:rsidR="001D4D72" w:rsidRDefault="007B6F49">
            <w:pPr>
              <w:spacing w:before="120" w:after="120"/>
              <w:jc w:val="center"/>
            </w:pPr>
            <w:r>
              <w:t>Fuel</w:t>
            </w:r>
          </w:p>
        </w:tc>
        <w:tc>
          <w:tcPr>
            <w:tcW w:w="2970" w:type="dxa"/>
            <w:tcBorders>
              <w:top w:val="single" w:sz="6" w:space="0" w:color="auto"/>
              <w:left w:val="single" w:sz="6" w:space="0" w:color="auto"/>
              <w:bottom w:val="single" w:sz="6" w:space="0" w:color="auto"/>
              <w:right w:val="nil"/>
            </w:tcBorders>
            <w:shd w:val="clear" w:color="auto" w:fill="FFFFFF"/>
          </w:tcPr>
          <w:p w:rsidR="001D4D72" w:rsidRDefault="007B6F49">
            <w:pPr>
              <w:spacing w:before="120" w:after="120"/>
            </w:pPr>
            <w:r>
              <w:t>Limited to pipeline quality natural gas only.</w:t>
            </w:r>
          </w:p>
        </w:tc>
        <w:tc>
          <w:tcPr>
            <w:tcW w:w="3059" w:type="dxa"/>
            <w:vMerge/>
            <w:tcBorders>
              <w:left w:val="single" w:sz="6" w:space="0" w:color="auto"/>
              <w:bottom w:val="single" w:sz="6" w:space="0" w:color="auto"/>
              <w:right w:val="single" w:sz="6" w:space="0" w:color="auto"/>
            </w:tcBorders>
            <w:shd w:val="clear" w:color="auto" w:fill="FFFFFF"/>
          </w:tcPr>
          <w:p w:rsidR="001D4D72" w:rsidRDefault="001D4D72">
            <w:pPr>
              <w:spacing w:before="120" w:after="120"/>
              <w:rPr>
                <w:bCs/>
              </w:rPr>
            </w:pPr>
          </w:p>
        </w:tc>
      </w:tr>
      <w:tr w:rsidR="001D4D72">
        <w:trPr>
          <w:cantSplit/>
          <w:trHeight w:val="403"/>
          <w:jc w:val="center"/>
        </w:trPr>
        <w:tc>
          <w:tcPr>
            <w:tcW w:w="2159" w:type="dxa"/>
            <w:tcBorders>
              <w:top w:val="single" w:sz="4" w:space="0" w:color="auto"/>
              <w:left w:val="single" w:sz="6" w:space="0" w:color="auto"/>
              <w:bottom w:val="single" w:sz="6" w:space="0" w:color="auto"/>
              <w:right w:val="nil"/>
            </w:tcBorders>
            <w:shd w:val="clear" w:color="auto" w:fill="FFFFFF"/>
          </w:tcPr>
          <w:p w:rsidR="001D4D72" w:rsidRDefault="007B6F49">
            <w:pPr>
              <w:spacing w:before="120" w:after="120"/>
              <w:jc w:val="center"/>
            </w:pPr>
            <w:r>
              <w:t>AA-001 through AA-003</w:t>
            </w:r>
          </w:p>
        </w:tc>
        <w:tc>
          <w:tcPr>
            <w:tcW w:w="1170" w:type="dxa"/>
            <w:tcBorders>
              <w:top w:val="single" w:sz="6" w:space="0" w:color="auto"/>
              <w:left w:val="single" w:sz="6" w:space="0" w:color="auto"/>
              <w:bottom w:val="single" w:sz="6" w:space="0" w:color="auto"/>
              <w:right w:val="nil"/>
            </w:tcBorders>
            <w:shd w:val="clear" w:color="auto" w:fill="FFFFFF"/>
          </w:tcPr>
          <w:p w:rsidR="001D4D72" w:rsidRDefault="007B6F49">
            <w:pPr>
              <w:spacing w:before="120" w:after="120"/>
              <w:jc w:val="center"/>
              <w:rPr>
                <w:bCs/>
                <w:color w:val="000000"/>
              </w:rPr>
            </w:pPr>
            <w:r>
              <w:rPr>
                <w:bCs/>
                <w:color w:val="000000"/>
              </w:rPr>
              <w:t>HAP</w:t>
            </w:r>
          </w:p>
        </w:tc>
        <w:tc>
          <w:tcPr>
            <w:tcW w:w="2970" w:type="dxa"/>
            <w:tcBorders>
              <w:top w:val="single" w:sz="6" w:space="0" w:color="auto"/>
              <w:left w:val="single" w:sz="6" w:space="0" w:color="auto"/>
              <w:bottom w:val="single" w:sz="6" w:space="0" w:color="auto"/>
              <w:right w:val="nil"/>
            </w:tcBorders>
            <w:shd w:val="clear" w:color="auto" w:fill="FFFFFF"/>
          </w:tcPr>
          <w:p w:rsidR="001D4D72" w:rsidRDefault="007B6F49">
            <w:pPr>
              <w:spacing w:before="120" w:after="120"/>
              <w:rPr>
                <w:bCs/>
                <w:color w:val="000000"/>
              </w:rPr>
            </w:pPr>
            <w:r>
              <w:rPr>
                <w:bCs/>
                <w:color w:val="000000"/>
              </w:rPr>
              <w:t>MACT applicability only and does not have to meet the requirements of this standard.</w:t>
            </w:r>
          </w:p>
        </w:tc>
        <w:tc>
          <w:tcPr>
            <w:tcW w:w="3059" w:type="dxa"/>
            <w:tcBorders>
              <w:top w:val="single" w:sz="6" w:space="0" w:color="auto"/>
              <w:left w:val="single" w:sz="6" w:space="0" w:color="auto"/>
              <w:bottom w:val="single" w:sz="6" w:space="0" w:color="auto"/>
              <w:right w:val="single" w:sz="6" w:space="0" w:color="auto"/>
            </w:tcBorders>
            <w:shd w:val="clear" w:color="auto" w:fill="FFFFFF"/>
          </w:tcPr>
          <w:p w:rsidR="001D4D72" w:rsidRDefault="007B6F49">
            <w:pPr>
              <w:spacing w:before="120" w:after="120"/>
              <w:rPr>
                <w:bCs/>
              </w:rPr>
            </w:pPr>
            <w:r>
              <w:rPr>
                <w:bCs/>
              </w:rPr>
              <w:t>N/A</w:t>
            </w:r>
          </w:p>
        </w:tc>
      </w:tr>
      <w:tr w:rsidR="001D4D72">
        <w:trPr>
          <w:cantSplit/>
          <w:trHeight w:val="403"/>
          <w:jc w:val="center"/>
        </w:trPr>
        <w:tc>
          <w:tcPr>
            <w:tcW w:w="2159" w:type="dxa"/>
            <w:tcBorders>
              <w:top w:val="single" w:sz="4" w:space="0" w:color="auto"/>
              <w:left w:val="single" w:sz="6" w:space="0" w:color="auto"/>
              <w:bottom w:val="single" w:sz="6" w:space="0" w:color="auto"/>
              <w:right w:val="nil"/>
            </w:tcBorders>
            <w:shd w:val="clear" w:color="auto" w:fill="FFFFFF"/>
          </w:tcPr>
          <w:p w:rsidR="001D4D72" w:rsidRDefault="007B6F49">
            <w:pPr>
              <w:spacing w:before="120" w:after="120"/>
              <w:jc w:val="center"/>
            </w:pPr>
            <w:r>
              <w:t>AA-004 and AA-005</w:t>
            </w:r>
          </w:p>
        </w:tc>
        <w:tc>
          <w:tcPr>
            <w:tcW w:w="1170" w:type="dxa"/>
            <w:tcBorders>
              <w:top w:val="single" w:sz="6" w:space="0" w:color="auto"/>
              <w:left w:val="single" w:sz="6" w:space="0" w:color="auto"/>
              <w:bottom w:val="single" w:sz="6" w:space="0" w:color="auto"/>
              <w:right w:val="nil"/>
            </w:tcBorders>
            <w:shd w:val="clear" w:color="auto" w:fill="FFFFFF"/>
          </w:tcPr>
          <w:p w:rsidR="001D4D72" w:rsidRDefault="007B6F49">
            <w:pPr>
              <w:spacing w:before="120" w:after="120"/>
              <w:jc w:val="center"/>
              <w:rPr>
                <w:bCs/>
                <w:color w:val="000000"/>
              </w:rPr>
            </w:pPr>
            <w:r>
              <w:rPr>
                <w:bCs/>
                <w:color w:val="000000"/>
              </w:rPr>
              <w:t>HAP</w:t>
            </w:r>
          </w:p>
        </w:tc>
        <w:tc>
          <w:tcPr>
            <w:tcW w:w="2970" w:type="dxa"/>
            <w:tcBorders>
              <w:top w:val="single" w:sz="6" w:space="0" w:color="auto"/>
              <w:left w:val="single" w:sz="6" w:space="0" w:color="auto"/>
              <w:bottom w:val="single" w:sz="6" w:space="0" w:color="auto"/>
              <w:right w:val="nil"/>
            </w:tcBorders>
            <w:shd w:val="clear" w:color="auto" w:fill="FFFFFF"/>
          </w:tcPr>
          <w:p w:rsidR="001D4D72" w:rsidRDefault="007B6F49">
            <w:pPr>
              <w:spacing w:before="120" w:after="120"/>
              <w:rPr>
                <w:bCs/>
                <w:color w:val="000000"/>
              </w:rPr>
            </w:pPr>
            <w:r>
              <w:rPr>
                <w:bCs/>
                <w:color w:val="000000"/>
              </w:rPr>
              <w:t xml:space="preserve">MACT applicability only </w:t>
            </w:r>
            <w:r>
              <w:rPr>
                <w:bCs/>
                <w:color w:val="000000"/>
              </w:rPr>
              <w:t>and does not have to meet the requirements of this standard except for 63.6640(f)(2) as provided for in definition for emergency generator.</w:t>
            </w:r>
          </w:p>
        </w:tc>
        <w:tc>
          <w:tcPr>
            <w:tcW w:w="3059" w:type="dxa"/>
            <w:vMerge w:val="restart"/>
            <w:tcBorders>
              <w:top w:val="single" w:sz="6" w:space="0" w:color="auto"/>
              <w:left w:val="single" w:sz="6" w:space="0" w:color="auto"/>
              <w:right w:val="single" w:sz="6" w:space="0" w:color="auto"/>
            </w:tcBorders>
            <w:shd w:val="clear" w:color="auto" w:fill="FFFFFF"/>
          </w:tcPr>
          <w:p w:rsidR="001D4D72" w:rsidRDefault="007B6F49">
            <w:pPr>
              <w:spacing w:before="120" w:after="120"/>
              <w:rPr>
                <w:bCs/>
              </w:rPr>
            </w:pPr>
            <w:r>
              <w:rPr>
                <w:bCs/>
                <w:color w:val="000000"/>
              </w:rPr>
              <w:t>Monitor and record all periods of operation on a monthly basis and identify hours of operation used for routine test</w:t>
            </w:r>
            <w:r>
              <w:rPr>
                <w:bCs/>
                <w:color w:val="000000"/>
              </w:rPr>
              <w:t>ing and maintenance and hours of operation during non-emergency use.</w:t>
            </w:r>
          </w:p>
        </w:tc>
      </w:tr>
      <w:tr w:rsidR="001D4D72">
        <w:trPr>
          <w:cantSplit/>
          <w:trHeight w:val="403"/>
          <w:jc w:val="center"/>
        </w:trPr>
        <w:tc>
          <w:tcPr>
            <w:tcW w:w="2159" w:type="dxa"/>
            <w:tcBorders>
              <w:top w:val="single" w:sz="4" w:space="0" w:color="auto"/>
              <w:left w:val="single" w:sz="6" w:space="0" w:color="auto"/>
              <w:bottom w:val="single" w:sz="6" w:space="0" w:color="auto"/>
              <w:right w:val="nil"/>
            </w:tcBorders>
            <w:shd w:val="clear" w:color="auto" w:fill="FFFFFF"/>
          </w:tcPr>
          <w:p w:rsidR="001D4D72" w:rsidRDefault="007B6F49">
            <w:pPr>
              <w:tabs>
                <w:tab w:val="left" w:pos="-1213"/>
                <w:tab w:val="left" w:pos="-720"/>
                <w:tab w:val="left" w:pos="0"/>
                <w:tab w:val="left" w:pos="810"/>
              </w:tabs>
              <w:spacing w:before="120" w:after="120"/>
              <w:jc w:val="center"/>
            </w:pPr>
            <w:r>
              <w:t>AA-004 and AA-005</w:t>
            </w:r>
          </w:p>
        </w:tc>
        <w:tc>
          <w:tcPr>
            <w:tcW w:w="1170" w:type="dxa"/>
            <w:tcBorders>
              <w:top w:val="single" w:sz="6" w:space="0" w:color="auto"/>
              <w:left w:val="single" w:sz="6" w:space="0" w:color="auto"/>
              <w:bottom w:val="single" w:sz="6" w:space="0" w:color="auto"/>
              <w:right w:val="nil"/>
            </w:tcBorders>
            <w:shd w:val="clear" w:color="auto" w:fill="FFFFFF"/>
          </w:tcPr>
          <w:p w:rsidR="001D4D72" w:rsidRDefault="007B6F49">
            <w:pPr>
              <w:spacing w:before="120" w:after="120"/>
              <w:jc w:val="center"/>
            </w:pPr>
            <w:r>
              <w:t>Operation</w:t>
            </w:r>
          </w:p>
        </w:tc>
        <w:tc>
          <w:tcPr>
            <w:tcW w:w="2970" w:type="dxa"/>
            <w:tcBorders>
              <w:top w:val="single" w:sz="6" w:space="0" w:color="auto"/>
              <w:left w:val="single" w:sz="6" w:space="0" w:color="auto"/>
              <w:bottom w:val="single" w:sz="6" w:space="0" w:color="auto"/>
              <w:right w:val="nil"/>
            </w:tcBorders>
            <w:shd w:val="clear" w:color="auto" w:fill="FFFFFF"/>
          </w:tcPr>
          <w:p w:rsidR="001D4D72" w:rsidRDefault="007B6F49">
            <w:pPr>
              <w:spacing w:before="120" w:after="120"/>
            </w:pPr>
            <w:r>
              <w:t>Limit of 500 hours per year of operation.</w:t>
            </w:r>
          </w:p>
        </w:tc>
        <w:tc>
          <w:tcPr>
            <w:tcW w:w="3059" w:type="dxa"/>
            <w:vMerge/>
            <w:tcBorders>
              <w:left w:val="single" w:sz="6" w:space="0" w:color="auto"/>
              <w:bottom w:val="single" w:sz="6" w:space="0" w:color="auto"/>
              <w:right w:val="single" w:sz="6" w:space="0" w:color="auto"/>
            </w:tcBorders>
            <w:shd w:val="clear" w:color="auto" w:fill="FFFFFF"/>
          </w:tcPr>
          <w:p w:rsidR="001D4D72" w:rsidRDefault="001D4D72">
            <w:pPr>
              <w:spacing w:before="120" w:after="120"/>
              <w:rPr>
                <w:bCs/>
              </w:rPr>
            </w:pPr>
          </w:p>
        </w:tc>
      </w:tr>
      <w:tr w:rsidR="001D4D72">
        <w:trPr>
          <w:cantSplit/>
          <w:trHeight w:val="403"/>
          <w:jc w:val="center"/>
        </w:trPr>
        <w:tc>
          <w:tcPr>
            <w:tcW w:w="2159" w:type="dxa"/>
            <w:tcBorders>
              <w:top w:val="single" w:sz="4" w:space="0" w:color="auto"/>
              <w:left w:val="single" w:sz="6" w:space="0" w:color="auto"/>
              <w:bottom w:val="single" w:sz="6" w:space="0" w:color="auto"/>
              <w:right w:val="nil"/>
            </w:tcBorders>
            <w:shd w:val="clear" w:color="auto" w:fill="FFFFFF"/>
          </w:tcPr>
          <w:p w:rsidR="001D4D72" w:rsidRDefault="007B6F49">
            <w:pPr>
              <w:spacing w:before="120" w:after="120"/>
              <w:jc w:val="center"/>
            </w:pPr>
            <w:r>
              <w:t>AA-007 through AA-016</w:t>
            </w:r>
          </w:p>
        </w:tc>
        <w:tc>
          <w:tcPr>
            <w:tcW w:w="1170" w:type="dxa"/>
            <w:tcBorders>
              <w:top w:val="single" w:sz="6" w:space="0" w:color="auto"/>
              <w:left w:val="single" w:sz="6" w:space="0" w:color="auto"/>
              <w:bottom w:val="single" w:sz="6" w:space="0" w:color="auto"/>
              <w:right w:val="nil"/>
            </w:tcBorders>
            <w:shd w:val="clear" w:color="auto" w:fill="FFFFFF"/>
          </w:tcPr>
          <w:p w:rsidR="001D4D72" w:rsidRDefault="007B6F49">
            <w:pPr>
              <w:spacing w:before="120" w:after="120"/>
              <w:jc w:val="center"/>
              <w:rPr>
                <w:bCs/>
                <w:color w:val="000000"/>
              </w:rPr>
            </w:pPr>
            <w:r>
              <w:rPr>
                <w:bCs/>
                <w:color w:val="000000"/>
              </w:rPr>
              <w:t>HAP</w:t>
            </w:r>
          </w:p>
        </w:tc>
        <w:tc>
          <w:tcPr>
            <w:tcW w:w="2970" w:type="dxa"/>
            <w:tcBorders>
              <w:top w:val="single" w:sz="6" w:space="0" w:color="auto"/>
              <w:left w:val="single" w:sz="6" w:space="0" w:color="auto"/>
              <w:bottom w:val="single" w:sz="6" w:space="0" w:color="auto"/>
              <w:right w:val="nil"/>
            </w:tcBorders>
            <w:shd w:val="clear" w:color="auto" w:fill="FFFFFF"/>
          </w:tcPr>
          <w:p w:rsidR="001D4D72" w:rsidRDefault="007B6F49">
            <w:pPr>
              <w:spacing w:before="120" w:after="120"/>
              <w:rPr>
                <w:bCs/>
                <w:color w:val="000000"/>
              </w:rPr>
            </w:pPr>
            <w:r>
              <w:rPr>
                <w:bCs/>
                <w:color w:val="000000"/>
              </w:rPr>
              <w:t xml:space="preserve">40 CFR 63, Subpart DDDDD applicability requirements for existing natural gas-fired </w:t>
            </w:r>
            <w:r>
              <w:rPr>
                <w:bCs/>
                <w:color w:val="000000"/>
              </w:rPr>
              <w:t>units, which must comply by March 21, 2014.</w:t>
            </w:r>
          </w:p>
        </w:tc>
        <w:tc>
          <w:tcPr>
            <w:tcW w:w="3059" w:type="dxa"/>
            <w:tcBorders>
              <w:top w:val="single" w:sz="6" w:space="0" w:color="auto"/>
              <w:left w:val="single" w:sz="6" w:space="0" w:color="auto"/>
              <w:bottom w:val="single" w:sz="6" w:space="0" w:color="auto"/>
              <w:right w:val="single" w:sz="6" w:space="0" w:color="auto"/>
            </w:tcBorders>
            <w:shd w:val="clear" w:color="auto" w:fill="FFFFFF"/>
          </w:tcPr>
          <w:p w:rsidR="001D4D72" w:rsidRDefault="007B6F49">
            <w:pPr>
              <w:spacing w:before="120" w:after="120"/>
              <w:rPr>
                <w:bCs/>
              </w:rPr>
            </w:pPr>
            <w:r>
              <w:rPr>
                <w:bCs/>
              </w:rPr>
              <w:t>Conduct one-time energy assessment and (annual, biennial, or 5-yr) tune up.</w:t>
            </w:r>
          </w:p>
        </w:tc>
      </w:tr>
      <w:tr w:rsidR="001D4D72">
        <w:trPr>
          <w:cantSplit/>
          <w:trHeight w:val="403"/>
          <w:jc w:val="center"/>
        </w:trPr>
        <w:tc>
          <w:tcPr>
            <w:tcW w:w="2159" w:type="dxa"/>
            <w:tcBorders>
              <w:top w:val="single" w:sz="4" w:space="0" w:color="auto"/>
              <w:left w:val="single" w:sz="6" w:space="0" w:color="auto"/>
              <w:bottom w:val="single" w:sz="6" w:space="0" w:color="auto"/>
              <w:right w:val="nil"/>
            </w:tcBorders>
            <w:shd w:val="clear" w:color="auto" w:fill="FFFFFF"/>
          </w:tcPr>
          <w:p w:rsidR="001D4D72" w:rsidRDefault="007B6F49">
            <w:pPr>
              <w:spacing w:before="120" w:after="120"/>
              <w:jc w:val="center"/>
            </w:pPr>
            <w:r>
              <w:t>AA-023</w:t>
            </w:r>
          </w:p>
        </w:tc>
        <w:tc>
          <w:tcPr>
            <w:tcW w:w="1170" w:type="dxa"/>
            <w:tcBorders>
              <w:top w:val="single" w:sz="6" w:space="0" w:color="auto"/>
              <w:left w:val="single" w:sz="6" w:space="0" w:color="auto"/>
              <w:bottom w:val="single" w:sz="6" w:space="0" w:color="auto"/>
              <w:right w:val="nil"/>
            </w:tcBorders>
            <w:shd w:val="clear" w:color="auto" w:fill="FFFFFF"/>
          </w:tcPr>
          <w:p w:rsidR="001D4D72" w:rsidRDefault="007B6F49">
            <w:pPr>
              <w:spacing w:before="120" w:after="120"/>
              <w:jc w:val="center"/>
              <w:rPr>
                <w:bCs/>
                <w:color w:val="000000"/>
              </w:rPr>
            </w:pPr>
            <w:r>
              <w:rPr>
                <w:bCs/>
                <w:color w:val="000000"/>
              </w:rPr>
              <w:t>HAP</w:t>
            </w:r>
          </w:p>
        </w:tc>
        <w:tc>
          <w:tcPr>
            <w:tcW w:w="2970" w:type="dxa"/>
            <w:tcBorders>
              <w:top w:val="single" w:sz="6" w:space="0" w:color="auto"/>
              <w:left w:val="single" w:sz="6" w:space="0" w:color="auto"/>
              <w:bottom w:val="single" w:sz="6" w:space="0" w:color="auto"/>
              <w:right w:val="nil"/>
            </w:tcBorders>
            <w:shd w:val="clear" w:color="auto" w:fill="FFFFFF"/>
          </w:tcPr>
          <w:p w:rsidR="001D4D72" w:rsidRDefault="007B6F49">
            <w:pPr>
              <w:spacing w:before="120" w:after="120"/>
              <w:rPr>
                <w:bCs/>
                <w:color w:val="000000"/>
              </w:rPr>
            </w:pPr>
            <w:r>
              <w:rPr>
                <w:bCs/>
                <w:color w:val="000000"/>
              </w:rPr>
              <w:t>40 CFR 63, Subpart DDDDD applicability requirements for new natural gas-fired units, which must comply upon startup.</w:t>
            </w:r>
          </w:p>
        </w:tc>
        <w:tc>
          <w:tcPr>
            <w:tcW w:w="3059" w:type="dxa"/>
            <w:tcBorders>
              <w:top w:val="single" w:sz="6" w:space="0" w:color="auto"/>
              <w:left w:val="single" w:sz="6" w:space="0" w:color="auto"/>
              <w:bottom w:val="single" w:sz="6" w:space="0" w:color="auto"/>
              <w:right w:val="single" w:sz="6" w:space="0" w:color="auto"/>
            </w:tcBorders>
            <w:shd w:val="clear" w:color="auto" w:fill="FFFFFF"/>
          </w:tcPr>
          <w:p w:rsidR="001D4D72" w:rsidRDefault="007B6F49">
            <w:pPr>
              <w:spacing w:before="120" w:after="120"/>
              <w:rPr>
                <w:bCs/>
              </w:rPr>
            </w:pPr>
            <w:r>
              <w:rPr>
                <w:bCs/>
              </w:rPr>
              <w:t>Conduct</w:t>
            </w:r>
            <w:r>
              <w:rPr>
                <w:bCs/>
              </w:rPr>
              <w:t xml:space="preserve"> one-time energy assessment and annual tune up.</w:t>
            </w:r>
          </w:p>
        </w:tc>
      </w:tr>
      <w:tr w:rsidR="001D4D72">
        <w:trPr>
          <w:cantSplit/>
          <w:trHeight w:val="403"/>
          <w:jc w:val="center"/>
        </w:trPr>
        <w:tc>
          <w:tcPr>
            <w:tcW w:w="2159" w:type="dxa"/>
            <w:tcBorders>
              <w:top w:val="single" w:sz="4" w:space="0" w:color="auto"/>
              <w:left w:val="single" w:sz="6" w:space="0" w:color="auto"/>
              <w:bottom w:val="single" w:sz="6" w:space="0" w:color="auto"/>
              <w:right w:val="nil"/>
            </w:tcBorders>
            <w:shd w:val="clear" w:color="auto" w:fill="FFFFFF"/>
          </w:tcPr>
          <w:p w:rsidR="001D4D72" w:rsidRDefault="007B6F49">
            <w:pPr>
              <w:spacing w:before="120" w:after="120"/>
              <w:jc w:val="center"/>
            </w:pPr>
            <w:r>
              <w:t>AA-023</w:t>
            </w:r>
          </w:p>
        </w:tc>
        <w:tc>
          <w:tcPr>
            <w:tcW w:w="1170" w:type="dxa"/>
            <w:tcBorders>
              <w:top w:val="single" w:sz="6" w:space="0" w:color="auto"/>
              <w:left w:val="single" w:sz="6" w:space="0" w:color="auto"/>
              <w:bottom w:val="single" w:sz="6" w:space="0" w:color="auto"/>
              <w:right w:val="nil"/>
            </w:tcBorders>
            <w:shd w:val="clear" w:color="auto" w:fill="FFFFFF"/>
          </w:tcPr>
          <w:p w:rsidR="001D4D72" w:rsidRDefault="007B6F49">
            <w:pPr>
              <w:spacing w:before="120" w:after="120"/>
              <w:jc w:val="center"/>
              <w:rPr>
                <w:bCs/>
                <w:color w:val="000000"/>
              </w:rPr>
            </w:pPr>
            <w:r>
              <w:rPr>
                <w:bCs/>
                <w:color w:val="000000"/>
              </w:rPr>
              <w:t>Fuel Usage</w:t>
            </w:r>
          </w:p>
        </w:tc>
        <w:tc>
          <w:tcPr>
            <w:tcW w:w="2970" w:type="dxa"/>
            <w:tcBorders>
              <w:top w:val="single" w:sz="6" w:space="0" w:color="auto"/>
              <w:left w:val="single" w:sz="6" w:space="0" w:color="auto"/>
              <w:bottom w:val="single" w:sz="6" w:space="0" w:color="auto"/>
              <w:right w:val="nil"/>
            </w:tcBorders>
            <w:shd w:val="clear" w:color="auto" w:fill="FFFFFF"/>
          </w:tcPr>
          <w:p w:rsidR="001D4D72" w:rsidRDefault="007B6F49">
            <w:pPr>
              <w:spacing w:before="120" w:after="120"/>
              <w:rPr>
                <w:bCs/>
                <w:color w:val="000000"/>
              </w:rPr>
            </w:pPr>
            <w:r>
              <w:rPr>
                <w:bCs/>
                <w:color w:val="000000"/>
              </w:rPr>
              <w:t>Limited to natural gas only.</w:t>
            </w:r>
          </w:p>
        </w:tc>
        <w:tc>
          <w:tcPr>
            <w:tcW w:w="3059" w:type="dxa"/>
            <w:tcBorders>
              <w:top w:val="single" w:sz="6" w:space="0" w:color="auto"/>
              <w:left w:val="single" w:sz="6" w:space="0" w:color="auto"/>
              <w:bottom w:val="single" w:sz="6" w:space="0" w:color="auto"/>
              <w:right w:val="single" w:sz="6" w:space="0" w:color="auto"/>
            </w:tcBorders>
            <w:shd w:val="clear" w:color="auto" w:fill="FFFFFF"/>
          </w:tcPr>
          <w:p w:rsidR="001D4D72" w:rsidRDefault="007B6F49">
            <w:pPr>
              <w:spacing w:before="120" w:after="120"/>
              <w:rPr>
                <w:bCs/>
              </w:rPr>
            </w:pPr>
            <w:r>
              <w:rPr>
                <w:bCs/>
                <w:color w:val="000000"/>
              </w:rPr>
              <w:t>Record and maintain records of the amount of each fuel combusted on a monthly basis.</w:t>
            </w:r>
          </w:p>
        </w:tc>
      </w:tr>
    </w:tbl>
    <w:p w:rsidR="001D4D72" w:rsidRDefault="001D4D72">
      <w:pPr>
        <w:rPr>
          <w:sz w:val="24"/>
          <w:szCs w:val="24"/>
        </w:rPr>
      </w:pPr>
    </w:p>
    <w:p w:rsidR="001D4D72" w:rsidRDefault="001D4D72">
      <w:pPr>
        <w:rPr>
          <w:sz w:val="24"/>
          <w:szCs w:val="24"/>
        </w:rPr>
      </w:pPr>
    </w:p>
    <w:p w:rsidR="001D4D72" w:rsidRDefault="007B6F49">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24"/>
          <w:szCs w:val="24"/>
        </w:rPr>
      </w:pPr>
      <w:r>
        <w:rPr>
          <w:sz w:val="24"/>
          <w:szCs w:val="24"/>
        </w:rPr>
        <w:t>OTHER LIMITS:  N/A</w:t>
      </w:r>
    </w:p>
    <w:sectPr w:rsidR="001D4D72">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D72" w:rsidRDefault="007B6F49">
      <w:r>
        <w:separator/>
      </w:r>
    </w:p>
  </w:endnote>
  <w:endnote w:type="continuationSeparator" w:id="0">
    <w:p w:rsidR="001D4D72" w:rsidRDefault="007B6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D72" w:rsidRDefault="007B6F49">
    <w:pPr>
      <w:pStyle w:val="Footer"/>
      <w:tabs>
        <w:tab w:val="clear" w:pos="8640"/>
        <w:tab w:val="right" w:pos="9270"/>
      </w:tabs>
      <w:rPr>
        <w:sz w:val="24"/>
        <w:szCs w:val="24"/>
      </w:rPr>
    </w:pPr>
    <w:r>
      <w:rPr>
        <w:sz w:val="24"/>
        <w:szCs w:val="24"/>
      </w:rPr>
      <w:t>5183  PER20110001</w:t>
    </w:r>
    <w:r>
      <w:rPr>
        <w:sz w:val="24"/>
        <w:szCs w:val="24"/>
      </w:rPr>
      <w:tab/>
    </w:r>
    <w:r>
      <w:rPr>
        <w:sz w:val="24"/>
        <w:szCs w:val="24"/>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D72" w:rsidRDefault="007B6F49">
      <w:r>
        <w:separator/>
      </w:r>
    </w:p>
  </w:footnote>
  <w:footnote w:type="continuationSeparator" w:id="0">
    <w:p w:rsidR="001D4D72" w:rsidRDefault="007B6F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684840"/>
    <w:multiLevelType w:val="hybridMultilevel"/>
    <w:tmpl w:val="17709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04B4794"/>
    <w:multiLevelType w:val="multilevel"/>
    <w:tmpl w:val="6FEC1544"/>
    <w:lvl w:ilvl="0">
      <w:start w:val="1"/>
      <w:numFmt w:val="upperRoman"/>
      <w:suff w:val="nothing"/>
      <w:lvlText w:val="Part %1"/>
      <w:lvlJc w:val="center"/>
      <w:pPr>
        <w:ind w:left="216" w:firstLine="4104"/>
      </w:pPr>
      <w:rPr>
        <w:rFonts w:ascii="Times New Roman" w:hAnsi="Times New Roman" w:cs="Times New Roman" w:hint="default"/>
        <w:b/>
        <w:bCs/>
        <w:i w:val="0"/>
        <w:iCs w:val="0"/>
        <w:sz w:val="24"/>
        <w:szCs w:val="24"/>
      </w:rPr>
    </w:lvl>
    <w:lvl w:ilvl="1">
      <w:start w:val="1"/>
      <w:numFmt w:val="decimal"/>
      <w:pStyle w:val="Other"/>
      <w:lvlText w:val="%2."/>
      <w:lvlJc w:val="left"/>
      <w:pPr>
        <w:tabs>
          <w:tab w:val="num" w:pos="720"/>
        </w:tabs>
        <w:ind w:left="720" w:hanging="720"/>
      </w:pPr>
      <w:rPr>
        <w:rFonts w:hint="default"/>
      </w:rPr>
    </w:lvl>
    <w:lvl w:ilvl="2">
      <w:start w:val="1"/>
      <w:numFmt w:val="lowerLetter"/>
      <w:lvlText w:val="%3."/>
      <w:lvlJc w:val="left"/>
      <w:pPr>
        <w:tabs>
          <w:tab w:val="num" w:pos="1080"/>
        </w:tabs>
        <w:ind w:left="1080" w:hanging="360"/>
      </w:pPr>
      <w:rPr>
        <w:rFonts w:hint="default"/>
      </w:rPr>
    </w:lvl>
    <w:lvl w:ilvl="3">
      <w:start w:val="1"/>
      <w:numFmt w:val="lowerRoman"/>
      <w:lvlText w:val="%4)"/>
      <w:lvlJc w:val="left"/>
      <w:pPr>
        <w:tabs>
          <w:tab w:val="num" w:pos="1800"/>
        </w:tabs>
        <w:ind w:left="1512" w:hanging="432"/>
      </w:pPr>
      <w:rPr>
        <w:rFonts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2">
    <w:nsid w:val="7D405175"/>
    <w:multiLevelType w:val="hybridMultilevel"/>
    <w:tmpl w:val="251CFC7E"/>
    <w:lvl w:ilvl="0" w:tplc="AC140B20">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D4D72"/>
    <w:rsid w:val="001D4D72"/>
    <w:rsid w:val="007B6F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iPriority="0" w:unhideWhenUsed="1"/>
    <w:lsdException w:name="index heading" w:unhideWhenUsed="1"/>
    <w:lsdException w:name="caption" w:semiHidden="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2">
    <w:name w:val="heading 2"/>
    <w:basedOn w:val="Normal"/>
    <w:next w:val="Normal"/>
    <w:link w:val="Heading2Char"/>
    <w:uiPriority w:val="99"/>
    <w:qFormat/>
    <w:pPr>
      <w:keepNext/>
      <w:widowControl w:val="0"/>
      <w:tabs>
        <w:tab w:val="left" w:pos="90"/>
      </w:tabs>
      <w:outlineLvl w:val="1"/>
    </w:pPr>
    <w:rPr>
      <w:color w:val="000000"/>
      <w:sz w:val="24"/>
      <w:szCs w:val="24"/>
    </w:rPr>
  </w:style>
  <w:style w:type="paragraph" w:styleId="Heading3">
    <w:name w:val="heading 3"/>
    <w:basedOn w:val="Normal"/>
    <w:next w:val="Normal"/>
    <w:link w:val="Heading3Char"/>
    <w:uiPriority w:val="99"/>
    <w:qFormat/>
    <w:pPr>
      <w:keepNext/>
      <w:widowControl w:val="0"/>
      <w:tabs>
        <w:tab w:val="left" w:pos="4860"/>
      </w:tabs>
      <w:spacing w:after="240"/>
      <w:ind w:left="4867"/>
      <w:outlineLvl w:val="2"/>
    </w:pPr>
    <w:rPr>
      <w:color w:val="000000"/>
      <w:sz w:val="24"/>
      <w:szCs w:val="24"/>
    </w:rPr>
  </w:style>
  <w:style w:type="paragraph" w:styleId="Heading4">
    <w:name w:val="heading 4"/>
    <w:basedOn w:val="Normal"/>
    <w:next w:val="Normal"/>
    <w:link w:val="Heading4Char"/>
    <w:uiPriority w:val="99"/>
    <w:qFormat/>
    <w:pPr>
      <w:keepNext/>
      <w:tabs>
        <w:tab w:val="left" w:pos="4320"/>
      </w:tabs>
      <w:ind w:left="4320" w:hanging="461"/>
      <w:outlineLvl w:val="3"/>
    </w:pPr>
    <w:rPr>
      <w:sz w:val="24"/>
      <w:szCs w:val="24"/>
    </w:rPr>
  </w:style>
  <w:style w:type="paragraph" w:styleId="Heading5">
    <w:name w:val="heading 5"/>
    <w:basedOn w:val="Normal"/>
    <w:next w:val="Normal"/>
    <w:link w:val="Heading5Char"/>
    <w:uiPriority w:val="99"/>
    <w:qFormat/>
    <w:pPr>
      <w:keepNext/>
      <w:jc w:val="center"/>
      <w:outlineLvl w:val="4"/>
    </w:pPr>
    <w:rPr>
      <w:rFonts w:ascii="Arial" w:hAnsi="Arial" w:cs="Arial"/>
      <w:b/>
      <w:bCs/>
      <w:color w:val="FFFFFF"/>
    </w:rPr>
  </w:style>
  <w:style w:type="paragraph" w:styleId="Heading6">
    <w:name w:val="heading 6"/>
    <w:basedOn w:val="Normal"/>
    <w:next w:val="Normal"/>
    <w:link w:val="Heading6Char"/>
    <w:uiPriority w:val="99"/>
    <w:qFormat/>
    <w:pPr>
      <w:keepNext/>
      <w:tabs>
        <w:tab w:val="left" w:pos="4320"/>
        <w:tab w:val="left" w:pos="4860"/>
        <w:tab w:val="left" w:pos="5220"/>
      </w:tabs>
      <w:ind w:left="3600"/>
      <w:outlineLvl w:val="5"/>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paragraph" w:styleId="Heading8">
    <w:name w:val="heading 8"/>
    <w:basedOn w:val="Normal"/>
    <w:next w:val="Normal"/>
    <w:link w:val="Heading8Char"/>
    <w:uiPriority w:val="99"/>
    <w:qFormat/>
    <w:pPr>
      <w:keepNext/>
      <w:tabs>
        <w:tab w:val="left" w:pos="90"/>
      </w:tabs>
      <w:jc w:val="center"/>
      <w:outlineLvl w:val="7"/>
    </w:pPr>
    <w:rPr>
      <w:b/>
      <w:bCs/>
      <w:sz w:val="24"/>
      <w:szCs w:val="24"/>
      <w:u w:val="single"/>
    </w:rPr>
  </w:style>
  <w:style w:type="paragraph" w:styleId="Heading9">
    <w:name w:val="heading 9"/>
    <w:basedOn w:val="Normal"/>
    <w:next w:val="Normal"/>
    <w:link w:val="Heading9Char"/>
    <w:uiPriority w:val="99"/>
    <w:qFormat/>
    <w:pPr>
      <w:keepNext/>
      <w:tabs>
        <w:tab w:val="left" w:pos="90"/>
      </w:tabs>
      <w:outlineLvl w:val="8"/>
    </w:pPr>
    <w:rPr>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rPr>
      <w:sz w:val="20"/>
      <w:szCs w:val="20"/>
    </w:rPr>
  </w:style>
  <w:style w:type="paragraph" w:styleId="BodyText2">
    <w:name w:val="Body Text 2"/>
    <w:basedOn w:val="Normal"/>
    <w:link w:val="BodyText2Char"/>
    <w:uiPriority w:val="99"/>
    <w:pPr>
      <w:tabs>
        <w:tab w:val="left" w:pos="900"/>
      </w:tabs>
      <w:spacing w:before="120" w:after="120"/>
      <w:jc w:val="both"/>
    </w:pPr>
    <w:rPr>
      <w:color w:val="000000"/>
      <w:sz w:val="24"/>
      <w:szCs w:val="24"/>
    </w:rPr>
  </w:style>
  <w:style w:type="character" w:customStyle="1" w:styleId="BodyText2Char">
    <w:name w:val="Body Text 2 Char"/>
    <w:basedOn w:val="DefaultParagraphFont"/>
    <w:link w:val="BodyText2"/>
    <w:uiPriority w:val="99"/>
    <w:semiHidden/>
    <w:rPr>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Pr>
      <w:sz w:val="20"/>
      <w:szCs w:val="20"/>
    </w:rPr>
  </w:style>
  <w:style w:type="paragraph" w:customStyle="1" w:styleId="ReferenceLine">
    <w:name w:val="Reference Line"/>
    <w:basedOn w:val="BodyText"/>
    <w:uiPriority w:val="99"/>
  </w:style>
  <w:style w:type="paragraph" w:customStyle="1" w:styleId="CcList">
    <w:name w:val="Cc List"/>
    <w:basedOn w:val="Normal"/>
    <w:uiPriority w:val="99"/>
    <w:pPr>
      <w:widowControl w:val="0"/>
    </w:pPr>
    <w:rPr>
      <w:sz w:val="24"/>
      <w:szCs w:val="24"/>
    </w:rPr>
  </w:style>
  <w:style w:type="paragraph" w:styleId="BodyText3">
    <w:name w:val="Body Text 3"/>
    <w:basedOn w:val="Normal"/>
    <w:link w:val="BodyText3Char"/>
    <w:uiPriority w:val="99"/>
    <w:pPr>
      <w:widowControl w:val="0"/>
      <w:tabs>
        <w:tab w:val="left" w:pos="90"/>
      </w:tabs>
      <w:spacing w:after="240"/>
    </w:pPr>
    <w:rPr>
      <w:color w:val="000000"/>
      <w:sz w:val="24"/>
      <w:szCs w:val="24"/>
    </w:rPr>
  </w:style>
  <w:style w:type="character" w:customStyle="1" w:styleId="BodyText3Char">
    <w:name w:val="Body Text 3 Char"/>
    <w:basedOn w:val="DefaultParagraphFont"/>
    <w:link w:val="BodyText3"/>
    <w:uiPriority w:val="99"/>
    <w:semiHidden/>
    <w:rPr>
      <w:sz w:val="16"/>
      <w:szCs w:val="16"/>
    </w:rPr>
  </w:style>
  <w:style w:type="paragraph" w:styleId="Caption">
    <w:name w:val="caption"/>
    <w:basedOn w:val="Normal"/>
    <w:next w:val="Normal"/>
    <w:uiPriority w:val="99"/>
    <w:qFormat/>
    <w:pPr>
      <w:tabs>
        <w:tab w:val="center" w:pos="4650"/>
      </w:tabs>
    </w:pPr>
    <w:rPr>
      <w:color w:val="000000"/>
      <w:sz w:val="24"/>
      <w:szCs w:val="24"/>
    </w:rPr>
  </w:style>
  <w:style w:type="paragraph" w:styleId="BodyTextIndent2">
    <w:name w:val="Body Text Indent 2"/>
    <w:basedOn w:val="Normal"/>
    <w:link w:val="BodyTextIndent2Char"/>
    <w:uiPriority w:val="99"/>
    <w:pPr>
      <w:tabs>
        <w:tab w:val="left" w:pos="5220"/>
      </w:tabs>
      <w:ind w:left="4320"/>
    </w:pPr>
    <w:rPr>
      <w:color w:val="000000"/>
      <w:sz w:val="24"/>
      <w:szCs w:val="24"/>
    </w:rPr>
  </w:style>
  <w:style w:type="character" w:customStyle="1" w:styleId="BodyTextIndent2Char">
    <w:name w:val="Body Text Indent 2 Char"/>
    <w:basedOn w:val="DefaultParagraphFont"/>
    <w:link w:val="BodyTextIndent2"/>
    <w:uiPriority w:val="99"/>
    <w:semiHidden/>
    <w:rPr>
      <w:sz w:val="20"/>
      <w:szCs w:val="20"/>
    </w:rPr>
  </w:style>
  <w:style w:type="paragraph" w:styleId="BodyTextIndent3">
    <w:name w:val="Body Text Indent 3"/>
    <w:basedOn w:val="Normal"/>
    <w:link w:val="BodyTextIndent3Char"/>
    <w:uiPriority w:val="99"/>
    <w:pPr>
      <w:tabs>
        <w:tab w:val="left" w:pos="5220"/>
      </w:tabs>
      <w:ind w:left="4320"/>
    </w:pPr>
    <w:rPr>
      <w:sz w:val="24"/>
      <w:szCs w:val="24"/>
    </w:rPr>
  </w:style>
  <w:style w:type="character" w:customStyle="1" w:styleId="BodyTextIndent3Char">
    <w:name w:val="Body Text Indent 3 Char"/>
    <w:basedOn w:val="DefaultParagraphFont"/>
    <w:link w:val="BodyTextIndent3"/>
    <w:uiPriority w:val="99"/>
    <w:semiHidden/>
    <w:rPr>
      <w:sz w:val="16"/>
      <w:szCs w:val="16"/>
    </w:rPr>
  </w:style>
  <w:style w:type="paragraph" w:customStyle="1" w:styleId="1">
    <w:name w:val="1"/>
    <w:aliases w:val="2,3"/>
    <w:uiPriority w:val="99"/>
    <w:pPr>
      <w:autoSpaceDE w:val="0"/>
      <w:autoSpaceDN w:val="0"/>
      <w:spacing w:after="0" w:line="240" w:lineRule="auto"/>
      <w:ind w:left="720"/>
    </w:pPr>
    <w:rPr>
      <w:rFonts w:ascii="CG Times" w:hAnsi="CG Times" w:cs="CG Times"/>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Pr>
      <w:sz w:val="20"/>
      <w:szCs w:val="20"/>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CommentText">
    <w:name w:val="annotation text"/>
    <w:basedOn w:val="Normal"/>
    <w:link w:val="CommentTextChar"/>
    <w:semiHidden/>
    <w:pPr>
      <w:widowControl w:val="0"/>
    </w:pPr>
  </w:style>
  <w:style w:type="character" w:customStyle="1" w:styleId="CommentTextChar">
    <w:name w:val="Comment Text Char"/>
    <w:basedOn w:val="DefaultParagraphFont"/>
    <w:link w:val="CommentText"/>
    <w:semiHidden/>
    <w:rPr>
      <w:sz w:val="20"/>
      <w:szCs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pPr>
    <w:rPr>
      <w:rFonts w:ascii="Courier New" w:hAnsi="Courier New"/>
      <w:snapToGrid w:val="0"/>
    </w:rPr>
  </w:style>
  <w:style w:type="paragraph" w:styleId="BodyTextIndent">
    <w:name w:val="Body Text Indent"/>
    <w:basedOn w:val="Normal"/>
    <w:link w:val="BodyTextIndentChar"/>
    <w:uiPriority w:val="99"/>
    <w:unhideWhenUsed/>
    <w:pPr>
      <w:spacing w:after="120"/>
      <w:ind w:left="360"/>
    </w:pPr>
  </w:style>
  <w:style w:type="character" w:customStyle="1" w:styleId="BodyTextIndentChar">
    <w:name w:val="Body Text Indent Char"/>
    <w:basedOn w:val="DefaultParagraphFont"/>
    <w:link w:val="BodyTextIndent"/>
    <w:uiPriority w:val="99"/>
    <w:rPr>
      <w:sz w:val="20"/>
      <w:szCs w:val="20"/>
    </w:rPr>
  </w:style>
  <w:style w:type="paragraph" w:customStyle="1" w:styleId="Other">
    <w:name w:val="Other"/>
    <w:basedOn w:val="BodyText"/>
    <w:pPr>
      <w:widowControl/>
      <w:numPr>
        <w:ilvl w:val="1"/>
        <w:numId w:val="3"/>
      </w:numPr>
      <w:spacing w:after="240"/>
      <w:jc w:val="both"/>
    </w:pPr>
    <w:rPr>
      <w:b/>
      <w:bCs/>
    </w:rPr>
  </w:style>
  <w:style w:type="table" w:styleId="TableGrid">
    <w:name w:val="Table Grid"/>
    <w:basedOn w:val="TableNormal"/>
    <w:uiPriority w:val="99"/>
    <w:pPr>
      <w:autoSpaceDE w:val="0"/>
      <w:autoSpaceDN w:val="0"/>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64E85-8688-42F4-9051-193DFA2ED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1934</Words>
  <Characters>11024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Tempo Field</vt:lpstr>
    </vt:vector>
  </TitlesOfParts>
  <Company>Office of Pollution Control</Company>
  <LinksUpToDate>false</LinksUpToDate>
  <CharactersWithSpaces>12933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Tempo Field</dc:title>
  <dc:creator>Bruce Ferguson</dc:creator>
  <cp:lastModifiedBy>BRIAN KETCHUM</cp:lastModifiedBy>
  <cp:revision>2</cp:revision>
  <cp:lastPrinted>2013-04-19T19:41:00Z</cp:lastPrinted>
  <dcterms:created xsi:type="dcterms:W3CDTF">2013-04-23T16:15:00Z</dcterms:created>
  <dcterms:modified xsi:type="dcterms:W3CDTF">2013-04-23T16:15:00Z</dcterms:modified>
</cp:coreProperties>
</file>