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E1356" w14:textId="77777777" w:rsidR="005E1C12" w:rsidRDefault="005E1C12">
      <w:pPr>
        <w:jc w:val="center"/>
        <w:rPr>
          <w:b/>
          <w:bCs/>
          <w:sz w:val="32"/>
          <w:szCs w:val="32"/>
        </w:rPr>
      </w:pPr>
      <w:r>
        <w:rPr>
          <w:b/>
          <w:bCs/>
          <w:sz w:val="32"/>
          <w:szCs w:val="32"/>
        </w:rPr>
        <w:t>INFORMATION RELATIVE TO</w:t>
      </w:r>
      <w:r w:rsidR="00CC1957">
        <w:rPr>
          <w:b/>
          <w:bCs/>
          <w:sz w:val="32"/>
          <w:szCs w:val="32"/>
        </w:rPr>
        <w:t xml:space="preserve"> </w:t>
      </w:r>
    </w:p>
    <w:p w14:paraId="71387C37" w14:textId="77777777" w:rsidR="005E1C12" w:rsidRDefault="005E1C12">
      <w:pPr>
        <w:jc w:val="center"/>
        <w:rPr>
          <w:b/>
          <w:bCs/>
          <w:sz w:val="32"/>
          <w:szCs w:val="32"/>
        </w:rPr>
      </w:pPr>
      <w:r>
        <w:rPr>
          <w:b/>
          <w:bCs/>
          <w:sz w:val="32"/>
          <w:szCs w:val="32"/>
        </w:rPr>
        <w:t>THE DRAFT TITLE V OPERATING PERMIT</w:t>
      </w:r>
    </w:p>
    <w:p w14:paraId="1F02501B" w14:textId="09DF93DC" w:rsidR="007E6D99" w:rsidRDefault="00DC6D90">
      <w:pPr>
        <w:jc w:val="center"/>
        <w:rPr>
          <w:b/>
          <w:bCs/>
          <w:sz w:val="32"/>
          <w:szCs w:val="32"/>
        </w:rPr>
      </w:pPr>
      <w:r>
        <w:rPr>
          <w:b/>
          <w:bCs/>
          <w:sz w:val="32"/>
          <w:szCs w:val="32"/>
        </w:rPr>
        <w:t>June 15,</w:t>
      </w:r>
      <w:bookmarkStart w:id="0" w:name="_GoBack"/>
      <w:bookmarkEnd w:id="0"/>
      <w:r w:rsidR="00E82732">
        <w:rPr>
          <w:b/>
          <w:bCs/>
          <w:sz w:val="32"/>
          <w:szCs w:val="32"/>
        </w:rPr>
        <w:t xml:space="preserve"> 2022</w:t>
      </w:r>
    </w:p>
    <w:p w14:paraId="36C7D4AE" w14:textId="77777777" w:rsidR="005E1C12" w:rsidRDefault="005E1C12">
      <w:pPr>
        <w:jc w:val="center"/>
        <w:rPr>
          <w:sz w:val="24"/>
          <w:szCs w:val="24"/>
        </w:rPr>
      </w:pPr>
    </w:p>
    <w:p w14:paraId="2B36EBE2" w14:textId="77777777" w:rsidR="005E1C12" w:rsidRPr="006A52EB" w:rsidRDefault="006A52EB" w:rsidP="006A52EB">
      <w:pPr>
        <w:rPr>
          <w:sz w:val="24"/>
          <w:szCs w:val="24"/>
          <w:u w:val="single"/>
        </w:rPr>
      </w:pPr>
      <w:r w:rsidRPr="006A52EB">
        <w:rPr>
          <w:sz w:val="24"/>
          <w:szCs w:val="24"/>
          <w:u w:val="single"/>
        </w:rPr>
        <w:t>GENER</w:t>
      </w:r>
      <w:r>
        <w:rPr>
          <w:sz w:val="24"/>
          <w:szCs w:val="24"/>
          <w:u w:val="single"/>
        </w:rPr>
        <w:t>AL FACILITY INFORMATION</w:t>
      </w:r>
    </w:p>
    <w:p w14:paraId="7503FA51" w14:textId="77777777" w:rsidR="005E1C12" w:rsidRPr="006A52EB" w:rsidRDefault="006A52EB" w:rsidP="00604D4C">
      <w:pPr>
        <w:pStyle w:val="ReferenceLine"/>
        <w:widowControl/>
        <w:tabs>
          <w:tab w:val="left" w:pos="90"/>
        </w:tabs>
        <w:spacing w:after="0"/>
        <w:ind w:left="1620" w:hanging="1620"/>
        <w:rPr>
          <w:bCs/>
        </w:rPr>
      </w:pPr>
      <w:r>
        <w:rPr>
          <w:b/>
          <w:bCs/>
        </w:rPr>
        <w:t xml:space="preserve">Facility Name:  </w:t>
      </w:r>
      <w:r w:rsidR="005E1C12" w:rsidRPr="006A52EB">
        <w:rPr>
          <w:bCs/>
        </w:rPr>
        <w:t>Northeast Mississippi Solid Waste Management Authority, NE Mississippi Regional Landfill</w:t>
      </w:r>
    </w:p>
    <w:p w14:paraId="34A6DEA0" w14:textId="0ECC059B" w:rsidR="005E1C12" w:rsidRPr="00577CB8" w:rsidRDefault="006A52EB" w:rsidP="00681AD1">
      <w:pPr>
        <w:tabs>
          <w:tab w:val="left" w:pos="90"/>
        </w:tabs>
        <w:rPr>
          <w:bCs/>
          <w:color w:val="000000"/>
          <w:sz w:val="24"/>
          <w:szCs w:val="24"/>
        </w:rPr>
      </w:pPr>
      <w:r w:rsidRPr="006A52EB">
        <w:rPr>
          <w:b/>
          <w:bCs/>
          <w:snapToGrid w:val="0"/>
          <w:color w:val="000000"/>
          <w:sz w:val="24"/>
          <w:szCs w:val="24"/>
        </w:rPr>
        <w:t>Facility Address:</w:t>
      </w:r>
      <w:r>
        <w:rPr>
          <w:bCs/>
          <w:snapToGrid w:val="0"/>
          <w:color w:val="000000"/>
          <w:sz w:val="24"/>
          <w:szCs w:val="24"/>
        </w:rPr>
        <w:t xml:space="preserve">  </w:t>
      </w:r>
      <w:r w:rsidR="005E1C12" w:rsidRPr="00577CB8">
        <w:rPr>
          <w:bCs/>
          <w:snapToGrid w:val="0"/>
          <w:color w:val="000000"/>
          <w:sz w:val="24"/>
          <w:szCs w:val="24"/>
        </w:rPr>
        <w:t>2941 County Road 302</w:t>
      </w:r>
      <w:r w:rsidR="00352D52">
        <w:rPr>
          <w:bCs/>
          <w:snapToGrid w:val="0"/>
          <w:color w:val="000000"/>
          <w:sz w:val="24"/>
          <w:szCs w:val="24"/>
        </w:rPr>
        <w:t>,</w:t>
      </w:r>
      <w:r w:rsidR="00D141A4">
        <w:rPr>
          <w:bCs/>
          <w:snapToGrid w:val="0"/>
          <w:color w:val="000000"/>
          <w:sz w:val="24"/>
          <w:szCs w:val="24"/>
        </w:rPr>
        <w:t xml:space="preserve"> </w:t>
      </w:r>
      <w:r w:rsidR="00D141A4">
        <w:rPr>
          <w:bCs/>
          <w:color w:val="000000"/>
          <w:sz w:val="24"/>
          <w:szCs w:val="24"/>
        </w:rPr>
        <w:t>Walnut, MS 38683</w:t>
      </w:r>
    </w:p>
    <w:p w14:paraId="00B77ADE" w14:textId="77777777" w:rsidR="00CC1957" w:rsidRDefault="006A52EB" w:rsidP="00681AD1">
      <w:pPr>
        <w:pStyle w:val="ReferenceLine"/>
        <w:widowControl/>
        <w:spacing w:after="0"/>
      </w:pPr>
      <w:r>
        <w:rPr>
          <w:b/>
        </w:rPr>
        <w:t xml:space="preserve">County: </w:t>
      </w:r>
      <w:r w:rsidR="00CC1957" w:rsidRPr="006A52EB">
        <w:t>Tippah</w:t>
      </w:r>
    </w:p>
    <w:p w14:paraId="19F148DA" w14:textId="77777777" w:rsidR="00D32B5E" w:rsidRPr="000C10C1" w:rsidRDefault="00991620" w:rsidP="00D32B5E">
      <w:pPr>
        <w:pStyle w:val="ReferenceLine"/>
        <w:widowControl/>
        <w:spacing w:after="0"/>
        <w:rPr>
          <w:color w:val="FF0000"/>
        </w:rPr>
      </w:pPr>
      <w:r w:rsidRPr="00991620">
        <w:rPr>
          <w:b/>
        </w:rPr>
        <w:t xml:space="preserve">SIC Code(s): </w:t>
      </w:r>
      <w:r w:rsidR="00D32B5E" w:rsidRPr="004B3DF1">
        <w:rPr>
          <w:color w:val="000000" w:themeColor="text1"/>
        </w:rPr>
        <w:t>4953</w:t>
      </w:r>
      <w:r w:rsidR="00D32B5E">
        <w:rPr>
          <w:color w:val="000000" w:themeColor="text1"/>
        </w:rPr>
        <w:t xml:space="preserve"> – Refuse Systems</w:t>
      </w:r>
    </w:p>
    <w:p w14:paraId="5884A17F" w14:textId="77777777" w:rsidR="00D32B5E" w:rsidRPr="000C10C1" w:rsidRDefault="00D32B5E" w:rsidP="00D32B5E">
      <w:pPr>
        <w:pStyle w:val="ReferenceLine"/>
        <w:widowControl/>
        <w:spacing w:after="0"/>
        <w:rPr>
          <w:color w:val="FF0000"/>
        </w:rPr>
      </w:pPr>
      <w:r w:rsidRPr="00991620">
        <w:rPr>
          <w:b/>
        </w:rPr>
        <w:t>NAICS Code(s):</w:t>
      </w:r>
      <w:r>
        <w:t xml:space="preserve"> </w:t>
      </w:r>
      <w:r w:rsidRPr="004B3DF1">
        <w:rPr>
          <w:color w:val="000000" w:themeColor="text1"/>
        </w:rPr>
        <w:t>562212 – Solid Waste Landfill</w:t>
      </w:r>
    </w:p>
    <w:p w14:paraId="7334635B" w14:textId="77777777" w:rsidR="00EA6AF2" w:rsidRDefault="00EA6AF2" w:rsidP="00D32B5E">
      <w:pPr>
        <w:pStyle w:val="ReferenceLine"/>
        <w:widowControl/>
        <w:spacing w:after="0"/>
        <w:rPr>
          <w:u w:val="single"/>
        </w:rPr>
      </w:pPr>
    </w:p>
    <w:p w14:paraId="3BD496E4" w14:textId="77777777" w:rsidR="00681AD1" w:rsidRPr="00681AD1" w:rsidRDefault="00681AD1" w:rsidP="00681AD1">
      <w:pPr>
        <w:pStyle w:val="ReferenceLine"/>
        <w:widowControl/>
        <w:spacing w:after="0"/>
        <w:rPr>
          <w:u w:val="single"/>
        </w:rPr>
      </w:pPr>
      <w:r>
        <w:rPr>
          <w:u w:val="single"/>
        </w:rPr>
        <w:t xml:space="preserve">APPLICATION SUMMARY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14"/>
      </w:tblGrid>
      <w:tr w:rsidR="00D32B5E" w:rsidRPr="00D32B5E" w14:paraId="0B9FDEC6" w14:textId="77777777" w:rsidTr="00D32B5E">
        <w:trPr>
          <w:trHeight w:val="2349"/>
        </w:trPr>
        <w:tc>
          <w:tcPr>
            <w:tcW w:w="5058" w:type="dxa"/>
          </w:tcPr>
          <w:p w14:paraId="65AD73FB" w14:textId="77777777" w:rsidR="00EA6AF2" w:rsidRPr="00D32B5E" w:rsidRDefault="00EA6AF2" w:rsidP="000C10C1">
            <w:pPr>
              <w:pStyle w:val="ReferenceLine"/>
              <w:widowControl/>
              <w:spacing w:before="60" w:after="60"/>
              <w:ind w:right="168"/>
            </w:pPr>
            <w:r w:rsidRPr="00D32B5E">
              <w:rPr>
                <w:b/>
              </w:rPr>
              <w:t xml:space="preserve">Permit No.: </w:t>
            </w:r>
            <w:r w:rsidRPr="00D32B5E">
              <w:t>2620-00055</w:t>
            </w:r>
          </w:p>
          <w:p w14:paraId="4A474524" w14:textId="4B38E2C2" w:rsidR="00EA6AF2" w:rsidRPr="00D32B5E" w:rsidRDefault="00EA6AF2" w:rsidP="00991620">
            <w:pPr>
              <w:pStyle w:val="ReferenceLine"/>
              <w:widowControl/>
              <w:spacing w:before="60" w:after="60"/>
              <w:ind w:right="168"/>
            </w:pPr>
            <w:r w:rsidRPr="00D32B5E">
              <w:rPr>
                <w:b/>
              </w:rPr>
              <w:t xml:space="preserve">Permit Action:  </w:t>
            </w:r>
            <w:r w:rsidR="00D32B5E" w:rsidRPr="00D32B5E">
              <w:t>Renewal</w:t>
            </w:r>
          </w:p>
          <w:p w14:paraId="2B345191" w14:textId="77777777" w:rsidR="00EA6AF2" w:rsidRPr="00D32B5E" w:rsidRDefault="00EA6AF2" w:rsidP="000C10C1">
            <w:pPr>
              <w:pStyle w:val="ReferenceLine"/>
              <w:widowControl/>
              <w:spacing w:before="60" w:after="60"/>
              <w:ind w:right="168"/>
            </w:pPr>
            <w:r w:rsidRPr="00D32B5E">
              <w:rPr>
                <w:b/>
              </w:rPr>
              <w:t xml:space="preserve">Permit Folder: </w:t>
            </w:r>
            <w:r w:rsidRPr="00D32B5E">
              <w:t>PER20190001</w:t>
            </w:r>
          </w:p>
          <w:p w14:paraId="1129F933" w14:textId="271182EB" w:rsidR="00EA6AF2" w:rsidRPr="00D32B5E" w:rsidRDefault="00EA6AF2" w:rsidP="00CB37B4">
            <w:pPr>
              <w:pStyle w:val="ReferenceLine"/>
              <w:widowControl/>
              <w:spacing w:before="60" w:after="60"/>
              <w:ind w:right="168"/>
            </w:pPr>
            <w:r w:rsidRPr="00D32B5E">
              <w:rPr>
                <w:b/>
              </w:rPr>
              <w:t xml:space="preserve">Application Receipt Date: </w:t>
            </w:r>
            <w:r w:rsidR="00D32B5E" w:rsidRPr="00D32B5E">
              <w:rPr>
                <w:bCs/>
                <w:szCs w:val="32"/>
              </w:rPr>
              <w:t>A</w:t>
            </w:r>
            <w:r w:rsidR="00D32B5E">
              <w:rPr>
                <w:bCs/>
                <w:szCs w:val="32"/>
              </w:rPr>
              <w:t>ugust 29</w:t>
            </w:r>
            <w:r w:rsidR="00D32B5E" w:rsidRPr="00D32B5E">
              <w:rPr>
                <w:bCs/>
                <w:szCs w:val="32"/>
              </w:rPr>
              <w:t>, 2019</w:t>
            </w:r>
            <w:r w:rsidR="00F5726D">
              <w:rPr>
                <w:bCs/>
                <w:szCs w:val="32"/>
              </w:rPr>
              <w:t>;</w:t>
            </w:r>
            <w:r w:rsidR="00D32B5E">
              <w:rPr>
                <w:bCs/>
                <w:szCs w:val="32"/>
              </w:rPr>
              <w:t xml:space="preserve"> </w:t>
            </w:r>
            <w:r w:rsidR="00F5726D">
              <w:rPr>
                <w:color w:val="000000" w:themeColor="text1"/>
              </w:rPr>
              <w:t>Revised</w:t>
            </w:r>
            <w:r w:rsidR="00D32B5E" w:rsidRPr="00C54D21">
              <w:rPr>
                <w:color w:val="000000" w:themeColor="text1"/>
              </w:rPr>
              <w:t xml:space="preserve"> on </w:t>
            </w:r>
            <w:r w:rsidR="00D32B5E">
              <w:rPr>
                <w:color w:val="000000" w:themeColor="text1"/>
              </w:rPr>
              <w:t>October 9, 2019</w:t>
            </w:r>
          </w:p>
          <w:p w14:paraId="1249E4FC" w14:textId="77777777" w:rsidR="00EA6AF2" w:rsidRPr="00D32B5E" w:rsidRDefault="00EA6AF2" w:rsidP="000C10C1">
            <w:pPr>
              <w:pStyle w:val="ReferenceLine"/>
              <w:widowControl/>
              <w:spacing w:before="60" w:after="60"/>
              <w:ind w:right="168"/>
              <w:rPr>
                <w:color w:val="FF0000"/>
              </w:rPr>
            </w:pPr>
            <w:r w:rsidRPr="00D32B5E">
              <w:rPr>
                <w:b/>
              </w:rPr>
              <w:t xml:space="preserve">Application Deemed Complete: </w:t>
            </w:r>
            <w:r w:rsidR="00D32B5E" w:rsidRPr="00D32B5E">
              <w:t>November 1, 2019</w:t>
            </w:r>
          </w:p>
          <w:p w14:paraId="37E247A7" w14:textId="77777777" w:rsidR="00EA6AF2" w:rsidRPr="00D32B5E" w:rsidRDefault="00EA6AF2" w:rsidP="000C10C1">
            <w:pPr>
              <w:pStyle w:val="ReferenceLine"/>
              <w:spacing w:before="60" w:after="60"/>
              <w:ind w:right="168"/>
            </w:pPr>
            <w:r w:rsidRPr="00D32B5E">
              <w:rPr>
                <w:b/>
              </w:rPr>
              <w:t xml:space="preserve">CBI Submitted?: </w:t>
            </w:r>
            <w:r w:rsidRPr="00D32B5E">
              <w:t>No</w:t>
            </w:r>
          </w:p>
        </w:tc>
        <w:tc>
          <w:tcPr>
            <w:tcW w:w="4518" w:type="dxa"/>
          </w:tcPr>
          <w:p w14:paraId="7EE39CAB" w14:textId="5864B9D2" w:rsidR="00EA6AF2" w:rsidRPr="00D32B5E" w:rsidRDefault="00EA6AF2" w:rsidP="00991620">
            <w:pPr>
              <w:pStyle w:val="ReferenceLine"/>
              <w:widowControl/>
              <w:spacing w:before="60" w:after="60"/>
            </w:pPr>
            <w:r w:rsidRPr="00D32B5E">
              <w:rPr>
                <w:b/>
              </w:rPr>
              <w:t xml:space="preserve">NSPS (Part 60): </w:t>
            </w:r>
            <w:r w:rsidR="00D32B5E" w:rsidRPr="00D32B5E">
              <w:t xml:space="preserve">Subpart </w:t>
            </w:r>
            <w:r w:rsidR="001D7082">
              <w:t>XXX (Upon commencing construction of lateral expansion)</w:t>
            </w:r>
          </w:p>
          <w:p w14:paraId="7CFE4580" w14:textId="38AFD19D" w:rsidR="00EA6AF2" w:rsidRDefault="00EA6AF2" w:rsidP="00991620">
            <w:pPr>
              <w:pStyle w:val="ReferenceLine"/>
              <w:widowControl/>
              <w:spacing w:before="60" w:after="60"/>
            </w:pPr>
            <w:r w:rsidRPr="00D32B5E">
              <w:rPr>
                <w:b/>
              </w:rPr>
              <w:t xml:space="preserve">NESHAP (Part 61): </w:t>
            </w:r>
            <w:r w:rsidR="00D32B5E" w:rsidRPr="00D32B5E">
              <w:t>Subpart M</w:t>
            </w:r>
          </w:p>
          <w:p w14:paraId="4C094E53" w14:textId="71AC0C17" w:rsidR="001D7082" w:rsidRPr="00D32B5E" w:rsidRDefault="001D7082" w:rsidP="00991620">
            <w:pPr>
              <w:pStyle w:val="ReferenceLine"/>
              <w:widowControl/>
              <w:spacing w:before="60" w:after="60"/>
              <w:rPr>
                <w:b/>
              </w:rPr>
            </w:pPr>
            <w:r>
              <w:rPr>
                <w:b/>
              </w:rPr>
              <w:t xml:space="preserve">Federal Plan (Part 62): </w:t>
            </w:r>
            <w:r>
              <w:t>Subpart OOO</w:t>
            </w:r>
          </w:p>
          <w:p w14:paraId="41BD4998" w14:textId="7C5AF663" w:rsidR="00EA6AF2" w:rsidRPr="00D32B5E" w:rsidRDefault="00EA6AF2" w:rsidP="00991620">
            <w:pPr>
              <w:pStyle w:val="ReferenceLine"/>
              <w:widowControl/>
              <w:spacing w:before="60" w:after="60"/>
              <w:rPr>
                <w:b/>
              </w:rPr>
            </w:pPr>
            <w:r w:rsidRPr="00D32B5E">
              <w:rPr>
                <w:b/>
              </w:rPr>
              <w:t xml:space="preserve">NESHAP (Part 63): </w:t>
            </w:r>
            <w:r w:rsidR="00EF79A1">
              <w:t>Subpart AAAA</w:t>
            </w:r>
          </w:p>
          <w:p w14:paraId="15BD1D12" w14:textId="77777777" w:rsidR="00EA6AF2" w:rsidRPr="00D32B5E" w:rsidRDefault="00EA6AF2" w:rsidP="00991620">
            <w:pPr>
              <w:pStyle w:val="ReferenceLine"/>
              <w:widowControl/>
              <w:spacing w:before="60" w:after="60"/>
              <w:rPr>
                <w:b/>
              </w:rPr>
            </w:pPr>
            <w:r w:rsidRPr="00D32B5E">
              <w:rPr>
                <w:b/>
              </w:rPr>
              <w:t xml:space="preserve">112(r) / RMP: </w:t>
            </w:r>
            <w:r w:rsidR="00A23A99">
              <w:t>N/A</w:t>
            </w:r>
          </w:p>
          <w:p w14:paraId="1310EEA5" w14:textId="77777777" w:rsidR="00EA6AF2" w:rsidRPr="00D32B5E" w:rsidRDefault="00EA6AF2" w:rsidP="00D32B5E">
            <w:pPr>
              <w:pStyle w:val="ReferenceLine"/>
              <w:spacing w:before="60" w:after="60"/>
            </w:pPr>
            <w:r w:rsidRPr="00D32B5E">
              <w:rPr>
                <w:b/>
              </w:rPr>
              <w:t xml:space="preserve">Other: </w:t>
            </w:r>
            <w:r w:rsidRPr="00D32B5E">
              <w:t>N/A</w:t>
            </w:r>
          </w:p>
        </w:tc>
      </w:tr>
    </w:tbl>
    <w:p w14:paraId="0F321990" w14:textId="77777777" w:rsidR="00681AD1" w:rsidRDefault="00681AD1" w:rsidP="00681AD1">
      <w:pPr>
        <w:pStyle w:val="ReferenceLine"/>
        <w:widowControl/>
        <w:spacing w:after="0"/>
        <w:rPr>
          <w:b/>
        </w:rPr>
      </w:pPr>
    </w:p>
    <w:p w14:paraId="100B75AB" w14:textId="77777777" w:rsidR="00531513" w:rsidRDefault="00531513" w:rsidP="00B90BBB">
      <w:pPr>
        <w:spacing w:before="120" w:after="120"/>
        <w:jc w:val="both"/>
        <w:rPr>
          <w:sz w:val="24"/>
          <w:szCs w:val="24"/>
        </w:rPr>
      </w:pPr>
      <w:r>
        <w:rPr>
          <w:sz w:val="24"/>
          <w:szCs w:val="24"/>
          <w:u w:val="single"/>
        </w:rPr>
        <w:t>FACILITY DESCRIPTION</w:t>
      </w:r>
    </w:p>
    <w:p w14:paraId="22ADD81F" w14:textId="5AEB3B34" w:rsidR="00D32B5E" w:rsidRDefault="00537D9E" w:rsidP="00B90BBB">
      <w:pPr>
        <w:spacing w:before="120" w:after="120"/>
        <w:jc w:val="both"/>
        <w:rPr>
          <w:sz w:val="24"/>
          <w:szCs w:val="24"/>
        </w:rPr>
      </w:pPr>
      <w:r>
        <w:rPr>
          <w:sz w:val="24"/>
          <w:szCs w:val="24"/>
        </w:rPr>
        <w:t>Northeast</w:t>
      </w:r>
      <w:r w:rsidR="00326D55" w:rsidRPr="008D7B76">
        <w:rPr>
          <w:sz w:val="24"/>
          <w:szCs w:val="24"/>
        </w:rPr>
        <w:t xml:space="preserve"> Mississippi Regional Landfill </w:t>
      </w:r>
      <w:r w:rsidR="00326D55">
        <w:rPr>
          <w:sz w:val="24"/>
          <w:szCs w:val="24"/>
        </w:rPr>
        <w:t xml:space="preserve">(NEML) </w:t>
      </w:r>
      <w:r w:rsidR="00D32B5E" w:rsidRPr="00A37102">
        <w:rPr>
          <w:sz w:val="24"/>
          <w:szCs w:val="24"/>
        </w:rPr>
        <w:t xml:space="preserve">is an existing municipal solid waste landfill facility (MSWLF) located in </w:t>
      </w:r>
      <w:r w:rsidR="00326D55">
        <w:rPr>
          <w:sz w:val="24"/>
          <w:szCs w:val="24"/>
        </w:rPr>
        <w:t>Walnut</w:t>
      </w:r>
      <w:r w:rsidR="00D32B5E" w:rsidRPr="00A37102">
        <w:rPr>
          <w:sz w:val="24"/>
          <w:szCs w:val="24"/>
        </w:rPr>
        <w:t>, Mississippi</w:t>
      </w:r>
      <w:r w:rsidR="00D32B5E">
        <w:rPr>
          <w:sz w:val="24"/>
          <w:szCs w:val="24"/>
        </w:rPr>
        <w:t xml:space="preserve">. </w:t>
      </w:r>
      <w:r w:rsidR="00326D55">
        <w:rPr>
          <w:sz w:val="24"/>
          <w:szCs w:val="24"/>
        </w:rPr>
        <w:t>NEML</w:t>
      </w:r>
      <w:r w:rsidR="00D32B5E">
        <w:rPr>
          <w:sz w:val="24"/>
          <w:szCs w:val="24"/>
        </w:rPr>
        <w:t xml:space="preserve"> is</w:t>
      </w:r>
      <w:r w:rsidR="00D32B5E" w:rsidRPr="00A37102">
        <w:rPr>
          <w:sz w:val="24"/>
          <w:szCs w:val="24"/>
        </w:rPr>
        <w:t xml:space="preserve"> owned by the </w:t>
      </w:r>
      <w:r w:rsidR="00326D55" w:rsidRPr="008D7B76">
        <w:rPr>
          <w:sz w:val="24"/>
          <w:szCs w:val="24"/>
        </w:rPr>
        <w:t>Northeast Mississippi Solid Waste Management Authority</w:t>
      </w:r>
      <w:r w:rsidR="00D32B5E" w:rsidRPr="00A37102">
        <w:rPr>
          <w:sz w:val="24"/>
          <w:szCs w:val="24"/>
        </w:rPr>
        <w:t xml:space="preserve">. The facility accepts municipal, commercial, and non-hazardous industrial waste for disposal. Typical municipal solid waste acceptable for the facility </w:t>
      </w:r>
      <w:r w:rsidR="00D32B5E" w:rsidRPr="00326D55">
        <w:rPr>
          <w:sz w:val="24"/>
          <w:szCs w:val="24"/>
        </w:rPr>
        <w:t xml:space="preserve">includes household wastes, construction debris, sludge, and agricultural wastes. The facility </w:t>
      </w:r>
      <w:r w:rsidR="001D7082">
        <w:rPr>
          <w:sz w:val="24"/>
          <w:szCs w:val="24"/>
        </w:rPr>
        <w:t xml:space="preserve">currently </w:t>
      </w:r>
      <w:r w:rsidR="00D32B5E" w:rsidRPr="00326D55">
        <w:rPr>
          <w:sz w:val="24"/>
          <w:szCs w:val="24"/>
        </w:rPr>
        <w:t xml:space="preserve">has disposal airspace of </w:t>
      </w:r>
      <w:r w:rsidR="00326D55" w:rsidRPr="00326D55">
        <w:rPr>
          <w:sz w:val="24"/>
          <w:szCs w:val="24"/>
        </w:rPr>
        <w:t>11,240</w:t>
      </w:r>
      <w:r w:rsidR="00D32B5E" w:rsidRPr="00326D55">
        <w:rPr>
          <w:sz w:val="24"/>
          <w:szCs w:val="24"/>
        </w:rPr>
        <w:t>,000 cubic yards (</w:t>
      </w:r>
      <w:r w:rsidR="00326D55" w:rsidRPr="00326D55">
        <w:rPr>
          <w:sz w:val="24"/>
          <w:szCs w:val="24"/>
        </w:rPr>
        <w:t>8.59</w:t>
      </w:r>
      <w:r w:rsidR="00D32B5E" w:rsidRPr="00326D55">
        <w:rPr>
          <w:sz w:val="24"/>
          <w:szCs w:val="24"/>
        </w:rPr>
        <w:t xml:space="preserve"> million cubic meters)</w:t>
      </w:r>
      <w:r w:rsidR="00604D4C">
        <w:rPr>
          <w:sz w:val="24"/>
          <w:szCs w:val="24"/>
        </w:rPr>
        <w:t>,</w:t>
      </w:r>
      <w:r w:rsidR="00D32B5E" w:rsidRPr="00326D55">
        <w:rPr>
          <w:sz w:val="24"/>
          <w:szCs w:val="24"/>
        </w:rPr>
        <w:t xml:space="preserve"> which equates to approximately </w:t>
      </w:r>
      <w:r w:rsidR="00326D55" w:rsidRPr="00326D55">
        <w:rPr>
          <w:sz w:val="24"/>
          <w:szCs w:val="24"/>
        </w:rPr>
        <w:t>8.8</w:t>
      </w:r>
      <w:r w:rsidR="00D32B5E" w:rsidRPr="00326D55">
        <w:rPr>
          <w:sz w:val="24"/>
          <w:szCs w:val="24"/>
        </w:rPr>
        <w:t xml:space="preserve"> million tons (</w:t>
      </w:r>
      <w:r w:rsidR="00326D55" w:rsidRPr="00326D55">
        <w:rPr>
          <w:sz w:val="24"/>
          <w:szCs w:val="24"/>
        </w:rPr>
        <w:t>7.9</w:t>
      </w:r>
      <w:r w:rsidR="00D32B5E" w:rsidRPr="00326D55">
        <w:rPr>
          <w:sz w:val="24"/>
          <w:szCs w:val="24"/>
        </w:rPr>
        <w:t xml:space="preserve"> million megagrams)</w:t>
      </w:r>
      <w:r w:rsidR="00D32B5E" w:rsidRPr="00A37102">
        <w:rPr>
          <w:sz w:val="24"/>
          <w:szCs w:val="24"/>
        </w:rPr>
        <w:t>.</w:t>
      </w:r>
      <w:r w:rsidR="001D7082">
        <w:rPr>
          <w:sz w:val="24"/>
          <w:szCs w:val="24"/>
        </w:rPr>
        <w:t xml:space="preserve"> </w:t>
      </w:r>
    </w:p>
    <w:p w14:paraId="4059DEDD" w14:textId="3FB50DC8" w:rsidR="00326D55" w:rsidRPr="008D7B76" w:rsidRDefault="00326D55" w:rsidP="00B90BBB">
      <w:pPr>
        <w:spacing w:before="120" w:after="120"/>
        <w:jc w:val="both"/>
        <w:rPr>
          <w:sz w:val="24"/>
          <w:szCs w:val="24"/>
        </w:rPr>
      </w:pPr>
      <w:r w:rsidRPr="008D7B76">
        <w:rPr>
          <w:sz w:val="24"/>
          <w:szCs w:val="24"/>
        </w:rPr>
        <w:t xml:space="preserve">Activities conducted at the facility include disposal, by landfilling, of municipal and some industrial solid wastes (such as non-hazardous petroleum hydrocarbon contaminated soil). This includes "solidification" operations in which finely divided particulate materials </w:t>
      </w:r>
      <w:r w:rsidR="00FF0D94">
        <w:rPr>
          <w:sz w:val="24"/>
          <w:szCs w:val="24"/>
        </w:rPr>
        <w:t>(</w:t>
      </w:r>
      <w:r w:rsidRPr="008D7B76">
        <w:rPr>
          <w:sz w:val="24"/>
          <w:szCs w:val="24"/>
        </w:rPr>
        <w:t>such as flyash, sawdust, etc.</w:t>
      </w:r>
      <w:r w:rsidR="00FF0D94">
        <w:rPr>
          <w:sz w:val="24"/>
          <w:szCs w:val="24"/>
        </w:rPr>
        <w:t>)</w:t>
      </w:r>
      <w:r w:rsidRPr="008D7B76">
        <w:rPr>
          <w:sz w:val="24"/>
          <w:szCs w:val="24"/>
        </w:rPr>
        <w:t xml:space="preserve"> are added to and mixed with liquid-containing wastes to solidify them prior to deposition within the landfill.</w:t>
      </w:r>
      <w:r w:rsidR="00FF0D94">
        <w:rPr>
          <w:sz w:val="24"/>
          <w:szCs w:val="24"/>
        </w:rPr>
        <w:t xml:space="preserve"> </w:t>
      </w:r>
      <w:r w:rsidRPr="008D7B76">
        <w:rPr>
          <w:sz w:val="24"/>
          <w:szCs w:val="24"/>
        </w:rPr>
        <w:t xml:space="preserve">Routine maintenance activities are conducted to service site equipment. Leachate from the landfill is sent to the City of </w:t>
      </w:r>
      <w:r>
        <w:rPr>
          <w:sz w:val="24"/>
          <w:szCs w:val="24"/>
        </w:rPr>
        <w:t>Corinth</w:t>
      </w:r>
      <w:r w:rsidRPr="008D7B76">
        <w:rPr>
          <w:sz w:val="24"/>
          <w:szCs w:val="24"/>
        </w:rPr>
        <w:t xml:space="preserve"> POTW for treatment and </w:t>
      </w:r>
      <w:r w:rsidR="001D7082">
        <w:rPr>
          <w:sz w:val="24"/>
          <w:szCs w:val="24"/>
        </w:rPr>
        <w:t>discharge</w:t>
      </w:r>
      <w:r w:rsidRPr="008D7B76">
        <w:rPr>
          <w:sz w:val="24"/>
          <w:szCs w:val="24"/>
        </w:rPr>
        <w:t>.</w:t>
      </w:r>
      <w:r w:rsidR="00FF0D94">
        <w:rPr>
          <w:sz w:val="24"/>
          <w:szCs w:val="24"/>
        </w:rPr>
        <w:t xml:space="preserve"> </w:t>
      </w:r>
      <w:r>
        <w:rPr>
          <w:sz w:val="24"/>
          <w:szCs w:val="24"/>
        </w:rPr>
        <w:t>M</w:t>
      </w:r>
      <w:r w:rsidRPr="008D7B76">
        <w:rPr>
          <w:sz w:val="24"/>
          <w:szCs w:val="24"/>
        </w:rPr>
        <w:t xml:space="preserve">obile </w:t>
      </w:r>
      <w:r w:rsidR="00011B14">
        <w:rPr>
          <w:sz w:val="24"/>
          <w:szCs w:val="24"/>
        </w:rPr>
        <w:t>engines</w:t>
      </w:r>
      <w:r w:rsidR="00FF0D94">
        <w:rPr>
          <w:sz w:val="24"/>
          <w:szCs w:val="24"/>
        </w:rPr>
        <w:t xml:space="preserve"> are used on-</w:t>
      </w:r>
      <w:r w:rsidRPr="008D7B76">
        <w:rPr>
          <w:sz w:val="24"/>
          <w:szCs w:val="24"/>
        </w:rPr>
        <w:t xml:space="preserve">site and are fueled from on-site diesel storage tanks. </w:t>
      </w:r>
    </w:p>
    <w:p w14:paraId="505D5638" w14:textId="6192E1A4" w:rsidR="00326372" w:rsidRDefault="00D32B5E" w:rsidP="00B90BBB">
      <w:pPr>
        <w:spacing w:before="120" w:after="120"/>
        <w:jc w:val="both"/>
        <w:rPr>
          <w:sz w:val="24"/>
          <w:szCs w:val="24"/>
        </w:rPr>
      </w:pPr>
      <w:r>
        <w:rPr>
          <w:sz w:val="24"/>
          <w:szCs w:val="24"/>
        </w:rPr>
        <w:t xml:space="preserve">The purpose of this permit action is to renew the facility’s Title V Operating Permit (TVOP), Air Reference No. </w:t>
      </w:r>
      <w:r w:rsidR="00326D55">
        <w:rPr>
          <w:sz w:val="24"/>
          <w:szCs w:val="24"/>
        </w:rPr>
        <w:t>2620-00055</w:t>
      </w:r>
      <w:r>
        <w:rPr>
          <w:sz w:val="24"/>
          <w:szCs w:val="24"/>
        </w:rPr>
        <w:t xml:space="preserve">. </w:t>
      </w:r>
      <w:r w:rsidR="001D7082">
        <w:rPr>
          <w:sz w:val="24"/>
          <w:szCs w:val="24"/>
        </w:rPr>
        <w:t>The renewal will address a proposed lateral expansion of the landfill</w:t>
      </w:r>
      <w:r w:rsidR="00F5726D">
        <w:rPr>
          <w:sz w:val="24"/>
          <w:szCs w:val="24"/>
        </w:rPr>
        <w:t>, which is</w:t>
      </w:r>
      <w:r w:rsidR="001D7082">
        <w:rPr>
          <w:sz w:val="24"/>
          <w:szCs w:val="24"/>
        </w:rPr>
        <w:t xml:space="preserve"> discussed in more detail below.</w:t>
      </w:r>
      <w:r w:rsidR="00FF0D94">
        <w:rPr>
          <w:sz w:val="24"/>
          <w:szCs w:val="24"/>
        </w:rPr>
        <w:t xml:space="preserve"> </w:t>
      </w:r>
      <w:r>
        <w:rPr>
          <w:sz w:val="24"/>
          <w:szCs w:val="24"/>
        </w:rPr>
        <w:t xml:space="preserve">The facility operates a gas collection and control system </w:t>
      </w:r>
      <w:r w:rsidR="00352D52">
        <w:rPr>
          <w:sz w:val="24"/>
          <w:szCs w:val="24"/>
        </w:rPr>
        <w:t>(GCCS)</w:t>
      </w:r>
      <w:r w:rsidR="00F5726D">
        <w:rPr>
          <w:sz w:val="24"/>
          <w:szCs w:val="24"/>
        </w:rPr>
        <w:t>,</w:t>
      </w:r>
      <w:r w:rsidR="00352D52">
        <w:rPr>
          <w:sz w:val="24"/>
          <w:szCs w:val="24"/>
        </w:rPr>
        <w:t xml:space="preserve"> </w:t>
      </w:r>
      <w:r w:rsidR="001D7082">
        <w:rPr>
          <w:sz w:val="24"/>
          <w:szCs w:val="24"/>
        </w:rPr>
        <w:t xml:space="preserve">initially installed </w:t>
      </w:r>
      <w:r w:rsidR="00352D52">
        <w:rPr>
          <w:sz w:val="24"/>
          <w:szCs w:val="24"/>
        </w:rPr>
        <w:t xml:space="preserve">to comply with </w:t>
      </w:r>
      <w:r w:rsidR="001D7082">
        <w:rPr>
          <w:sz w:val="24"/>
          <w:szCs w:val="24"/>
        </w:rPr>
        <w:t>40 CFR 60</w:t>
      </w:r>
      <w:r>
        <w:rPr>
          <w:sz w:val="24"/>
          <w:szCs w:val="24"/>
        </w:rPr>
        <w:t xml:space="preserve"> Subpart WWW </w:t>
      </w:r>
      <w:r w:rsidR="00352D52">
        <w:rPr>
          <w:sz w:val="24"/>
          <w:szCs w:val="24"/>
        </w:rPr>
        <w:t xml:space="preserve">and </w:t>
      </w:r>
      <w:r w:rsidR="00F5726D">
        <w:rPr>
          <w:sz w:val="24"/>
          <w:szCs w:val="24"/>
        </w:rPr>
        <w:t>40 CFR 63</w:t>
      </w:r>
      <w:r w:rsidR="00352D52">
        <w:rPr>
          <w:sz w:val="24"/>
          <w:szCs w:val="24"/>
        </w:rPr>
        <w:t xml:space="preserve"> Subpart AAAA. </w:t>
      </w:r>
      <w:r>
        <w:rPr>
          <w:sz w:val="24"/>
          <w:szCs w:val="24"/>
        </w:rPr>
        <w:t xml:space="preserve">The collected gas is routed to </w:t>
      </w:r>
      <w:r w:rsidR="00352D52">
        <w:rPr>
          <w:sz w:val="24"/>
          <w:szCs w:val="24"/>
        </w:rPr>
        <w:t>a LFG-to-Energy (LFGTE) p</w:t>
      </w:r>
      <w:r w:rsidR="00326D55" w:rsidRPr="00326D55">
        <w:rPr>
          <w:sz w:val="24"/>
          <w:szCs w:val="24"/>
        </w:rPr>
        <w:t xml:space="preserve">roject owned </w:t>
      </w:r>
      <w:r w:rsidR="00537D9E">
        <w:rPr>
          <w:sz w:val="24"/>
          <w:szCs w:val="24"/>
        </w:rPr>
        <w:t>and operated by an independent t</w:t>
      </w:r>
      <w:r w:rsidR="00326D55" w:rsidRPr="00326D55">
        <w:rPr>
          <w:sz w:val="24"/>
          <w:szCs w:val="24"/>
        </w:rPr>
        <w:t>hird-</w:t>
      </w:r>
      <w:r w:rsidR="00537D9E">
        <w:rPr>
          <w:sz w:val="24"/>
          <w:szCs w:val="24"/>
        </w:rPr>
        <w:t>p</w:t>
      </w:r>
      <w:r w:rsidR="00326D55" w:rsidRPr="00326D55">
        <w:rPr>
          <w:sz w:val="24"/>
          <w:szCs w:val="24"/>
        </w:rPr>
        <w:t>arty</w:t>
      </w:r>
      <w:r w:rsidR="0029406A">
        <w:rPr>
          <w:sz w:val="24"/>
          <w:szCs w:val="24"/>
        </w:rPr>
        <w:t>, Air Liquide Advanced Technologies U.S., LLC (ALATUS)</w:t>
      </w:r>
      <w:r w:rsidR="00326D55" w:rsidRPr="00326D55">
        <w:rPr>
          <w:sz w:val="24"/>
          <w:szCs w:val="24"/>
        </w:rPr>
        <w:t xml:space="preserve">. </w:t>
      </w:r>
      <w:r w:rsidR="00352D52">
        <w:rPr>
          <w:sz w:val="24"/>
          <w:szCs w:val="24"/>
        </w:rPr>
        <w:t>ALATUS</w:t>
      </w:r>
      <w:r w:rsidR="00326D55" w:rsidRPr="00326D55">
        <w:rPr>
          <w:sz w:val="24"/>
          <w:szCs w:val="24"/>
        </w:rPr>
        <w:t xml:space="preserve"> </w:t>
      </w:r>
      <w:r w:rsidR="00326D55" w:rsidRPr="00326D55">
        <w:rPr>
          <w:sz w:val="24"/>
          <w:szCs w:val="24"/>
        </w:rPr>
        <w:lastRenderedPageBreak/>
        <w:t xml:space="preserve">treats the LFG and injects the treated LFG into a gas pipeline. </w:t>
      </w:r>
      <w:r w:rsidR="00784227">
        <w:rPr>
          <w:sz w:val="24"/>
          <w:szCs w:val="24"/>
        </w:rPr>
        <w:t>If there are interruptions in service from ALATUS,</w:t>
      </w:r>
      <w:r w:rsidR="00784227" w:rsidRPr="00D66B87">
        <w:rPr>
          <w:sz w:val="24"/>
          <w:szCs w:val="24"/>
        </w:rPr>
        <w:t xml:space="preserve"> </w:t>
      </w:r>
      <w:r w:rsidR="00784227">
        <w:rPr>
          <w:sz w:val="24"/>
          <w:szCs w:val="24"/>
        </w:rPr>
        <w:t>l</w:t>
      </w:r>
      <w:r w:rsidRPr="00D66B87">
        <w:rPr>
          <w:sz w:val="24"/>
          <w:szCs w:val="24"/>
        </w:rPr>
        <w:t>andfill gas may be routed to a</w:t>
      </w:r>
      <w:r w:rsidR="00352D52">
        <w:rPr>
          <w:sz w:val="24"/>
          <w:szCs w:val="24"/>
        </w:rPr>
        <w:t xml:space="preserve">n existing candlestick flare </w:t>
      </w:r>
      <w:r w:rsidR="0029406A">
        <w:rPr>
          <w:sz w:val="24"/>
          <w:szCs w:val="24"/>
        </w:rPr>
        <w:t>owned and operated by NEML</w:t>
      </w:r>
      <w:r w:rsidRPr="00D66B87">
        <w:rPr>
          <w:sz w:val="24"/>
          <w:szCs w:val="24"/>
        </w:rPr>
        <w:t>.</w:t>
      </w:r>
      <w:r w:rsidR="0029406A">
        <w:rPr>
          <w:sz w:val="24"/>
          <w:szCs w:val="24"/>
        </w:rPr>
        <w:t xml:space="preserve">  </w:t>
      </w:r>
    </w:p>
    <w:p w14:paraId="4FF00FF4" w14:textId="7DB7756B" w:rsidR="00D32B5E" w:rsidRDefault="0029406A" w:rsidP="00B90BBB">
      <w:pPr>
        <w:spacing w:before="120" w:after="120"/>
        <w:jc w:val="both"/>
        <w:rPr>
          <w:sz w:val="24"/>
          <w:szCs w:val="24"/>
        </w:rPr>
      </w:pPr>
      <w:r>
        <w:rPr>
          <w:sz w:val="24"/>
          <w:szCs w:val="24"/>
        </w:rPr>
        <w:t>An initial so</w:t>
      </w:r>
      <w:r w:rsidR="00EF3DBE">
        <w:rPr>
          <w:sz w:val="24"/>
          <w:szCs w:val="24"/>
        </w:rPr>
        <w:t xml:space="preserve">urce determination was made by </w:t>
      </w:r>
      <w:r>
        <w:rPr>
          <w:sz w:val="24"/>
          <w:szCs w:val="24"/>
        </w:rPr>
        <w:t xml:space="preserve">DEQ in a letter dated November 7, 2016, to ALATUS, confirming that ALATUS was a separate source for purposes of air permitting. </w:t>
      </w:r>
      <w:r w:rsidR="00326372">
        <w:rPr>
          <w:sz w:val="24"/>
          <w:szCs w:val="24"/>
        </w:rPr>
        <w:t xml:space="preserve">Following this source determination, </w:t>
      </w:r>
      <w:r w:rsidR="00FF0D94">
        <w:rPr>
          <w:sz w:val="24"/>
          <w:szCs w:val="24"/>
        </w:rPr>
        <w:t xml:space="preserve">the </w:t>
      </w:r>
      <w:r w:rsidR="00326372">
        <w:rPr>
          <w:sz w:val="24"/>
          <w:szCs w:val="24"/>
        </w:rPr>
        <w:t xml:space="preserve">EPA issued additional guidance concerning common control. </w:t>
      </w:r>
      <w:r w:rsidR="00784227">
        <w:rPr>
          <w:sz w:val="24"/>
          <w:szCs w:val="24"/>
        </w:rPr>
        <w:t>DEQ reviewed</w:t>
      </w:r>
      <w:r>
        <w:rPr>
          <w:sz w:val="24"/>
          <w:szCs w:val="24"/>
        </w:rPr>
        <w:t xml:space="preserve"> </w:t>
      </w:r>
      <w:r w:rsidR="00326372">
        <w:rPr>
          <w:sz w:val="24"/>
          <w:szCs w:val="24"/>
        </w:rPr>
        <w:t>this guidance</w:t>
      </w:r>
      <w:r w:rsidR="00784227">
        <w:rPr>
          <w:sz w:val="24"/>
          <w:szCs w:val="24"/>
        </w:rPr>
        <w:t xml:space="preserve"> and has determined that NEML and ALATUS </w:t>
      </w:r>
      <w:r w:rsidR="00326372">
        <w:rPr>
          <w:sz w:val="24"/>
          <w:szCs w:val="24"/>
        </w:rPr>
        <w:t>remain</w:t>
      </w:r>
      <w:r w:rsidR="00784227">
        <w:rPr>
          <w:sz w:val="24"/>
          <w:szCs w:val="24"/>
        </w:rPr>
        <w:t xml:space="preserve"> separate stationary sources for purposes of air permitting, particularly since NEML does not rely on ALATUS to demonstrate compliance with any applicable state or federal standards</w:t>
      </w:r>
      <w:r w:rsidR="00326372">
        <w:rPr>
          <w:sz w:val="24"/>
          <w:szCs w:val="24"/>
        </w:rPr>
        <w:t xml:space="preserve"> and has no authority to make decisions affecting the applicability of or compliance with relevant regulatory requirements concerning air pollution at ALATUS’s facility</w:t>
      </w:r>
      <w:r w:rsidR="00784227">
        <w:rPr>
          <w:sz w:val="24"/>
          <w:szCs w:val="24"/>
        </w:rPr>
        <w:t xml:space="preserve">. </w:t>
      </w:r>
      <w:r w:rsidR="00D32B5E">
        <w:rPr>
          <w:sz w:val="24"/>
          <w:szCs w:val="24"/>
        </w:rPr>
        <w:t xml:space="preserve"> </w:t>
      </w:r>
    </w:p>
    <w:p w14:paraId="02465EE2" w14:textId="77777777" w:rsidR="00531513" w:rsidRDefault="00531513" w:rsidP="00B90BBB">
      <w:pPr>
        <w:spacing w:before="240" w:after="120"/>
        <w:jc w:val="both"/>
        <w:rPr>
          <w:sz w:val="24"/>
          <w:szCs w:val="24"/>
        </w:rPr>
      </w:pPr>
      <w:r>
        <w:rPr>
          <w:sz w:val="24"/>
          <w:szCs w:val="24"/>
          <w:u w:val="single"/>
        </w:rPr>
        <w:t xml:space="preserve">TITLE V </w:t>
      </w:r>
      <w:r w:rsidR="00BA3BCF">
        <w:rPr>
          <w:sz w:val="24"/>
          <w:szCs w:val="24"/>
          <w:u w:val="single"/>
        </w:rPr>
        <w:t>SOURCE</w:t>
      </w:r>
      <w:r>
        <w:rPr>
          <w:sz w:val="24"/>
          <w:szCs w:val="24"/>
          <w:u w:val="single"/>
        </w:rPr>
        <w:t xml:space="preserve"> APPLICABILITY </w:t>
      </w:r>
    </w:p>
    <w:p w14:paraId="60B2C297" w14:textId="527F8865" w:rsidR="00D32B5E" w:rsidRPr="00C640B5" w:rsidRDefault="001D7082" w:rsidP="00B90BBB">
      <w:pPr>
        <w:spacing w:before="120" w:after="120"/>
        <w:jc w:val="both"/>
        <w:rPr>
          <w:color w:val="000000" w:themeColor="text1"/>
          <w:sz w:val="24"/>
          <w:szCs w:val="24"/>
        </w:rPr>
      </w:pPr>
      <w:r>
        <w:rPr>
          <w:color w:val="000000" w:themeColor="text1"/>
          <w:sz w:val="24"/>
          <w:szCs w:val="24"/>
        </w:rPr>
        <w:t>T</w:t>
      </w:r>
      <w:r w:rsidR="00D32B5E" w:rsidRPr="00C640B5">
        <w:rPr>
          <w:color w:val="000000" w:themeColor="text1"/>
          <w:sz w:val="24"/>
          <w:szCs w:val="24"/>
        </w:rPr>
        <w:t xml:space="preserve">he facility </w:t>
      </w:r>
      <w:r>
        <w:rPr>
          <w:color w:val="000000" w:themeColor="text1"/>
          <w:sz w:val="24"/>
          <w:szCs w:val="24"/>
        </w:rPr>
        <w:t>was initially required to obtain a Title V permit under</w:t>
      </w:r>
      <w:r w:rsidR="00D32B5E">
        <w:rPr>
          <w:color w:val="000000" w:themeColor="text1"/>
          <w:sz w:val="24"/>
          <w:szCs w:val="24"/>
        </w:rPr>
        <w:t xml:space="preserve"> 40 CFR 60 Subpart WWW.</w:t>
      </w:r>
      <w:r w:rsidR="00D32B5E" w:rsidRPr="00C640B5">
        <w:rPr>
          <w:color w:val="000000" w:themeColor="text1"/>
          <w:sz w:val="24"/>
          <w:szCs w:val="24"/>
        </w:rPr>
        <w:t xml:space="preserve"> </w:t>
      </w:r>
      <w:r>
        <w:rPr>
          <w:color w:val="000000" w:themeColor="text1"/>
          <w:sz w:val="24"/>
          <w:szCs w:val="24"/>
        </w:rPr>
        <w:t xml:space="preserve">Although </w:t>
      </w:r>
      <w:r w:rsidR="008176E4">
        <w:rPr>
          <w:color w:val="000000" w:themeColor="text1"/>
          <w:sz w:val="24"/>
          <w:szCs w:val="24"/>
        </w:rPr>
        <w:t xml:space="preserve">Subpart WWW no longer applies, </w:t>
      </w:r>
      <w:r>
        <w:rPr>
          <w:color w:val="000000" w:themeColor="text1"/>
          <w:sz w:val="24"/>
          <w:szCs w:val="24"/>
        </w:rPr>
        <w:t xml:space="preserve">NEML is now subject to the Federal Plan for Municipal Solid Waste Landfills found in 40 CFR 62 Subpart OOO, </w:t>
      </w:r>
      <w:r w:rsidR="008176E4">
        <w:rPr>
          <w:color w:val="000000" w:themeColor="text1"/>
          <w:sz w:val="24"/>
          <w:szCs w:val="24"/>
        </w:rPr>
        <w:t>which</w:t>
      </w:r>
      <w:r>
        <w:rPr>
          <w:color w:val="000000" w:themeColor="text1"/>
          <w:sz w:val="24"/>
          <w:szCs w:val="24"/>
        </w:rPr>
        <w:t xml:space="preserve"> still requires </w:t>
      </w:r>
      <w:r w:rsidR="00E05410">
        <w:rPr>
          <w:color w:val="000000" w:themeColor="text1"/>
          <w:sz w:val="24"/>
          <w:szCs w:val="24"/>
        </w:rPr>
        <w:t>NEML maintain a Title V permit.</w:t>
      </w:r>
      <w:r w:rsidR="00FF0D94">
        <w:rPr>
          <w:color w:val="000000" w:themeColor="text1"/>
          <w:sz w:val="24"/>
          <w:szCs w:val="24"/>
        </w:rPr>
        <w:t xml:space="preserve"> </w:t>
      </w:r>
      <w:r w:rsidR="00D32B5E" w:rsidRPr="00C640B5">
        <w:rPr>
          <w:color w:val="000000" w:themeColor="text1"/>
          <w:sz w:val="24"/>
          <w:szCs w:val="24"/>
        </w:rPr>
        <w:t>The facility also meets the definition of a major stationary source of air pollutants</w:t>
      </w:r>
      <w:r w:rsidR="008176E4">
        <w:rPr>
          <w:color w:val="000000" w:themeColor="text1"/>
          <w:sz w:val="24"/>
          <w:szCs w:val="24"/>
        </w:rPr>
        <w:t>,</w:t>
      </w:r>
      <w:r w:rsidR="00D32B5E" w:rsidRPr="00C640B5">
        <w:rPr>
          <w:color w:val="000000" w:themeColor="text1"/>
          <w:sz w:val="24"/>
          <w:szCs w:val="24"/>
        </w:rPr>
        <w:t xml:space="preserve"> as the potential to emit </w:t>
      </w:r>
      <w:r w:rsidR="00011B14" w:rsidRPr="00011B14">
        <w:rPr>
          <w:color w:val="000000" w:themeColor="text1"/>
          <w:sz w:val="24"/>
          <w:szCs w:val="24"/>
        </w:rPr>
        <w:t>carbon monoxide (CO</w:t>
      </w:r>
      <w:r w:rsidR="00011B14">
        <w:rPr>
          <w:color w:val="000000" w:themeColor="text1"/>
          <w:sz w:val="24"/>
          <w:szCs w:val="24"/>
        </w:rPr>
        <w:t xml:space="preserve">) </w:t>
      </w:r>
      <w:r w:rsidR="00D32B5E" w:rsidRPr="00C640B5">
        <w:rPr>
          <w:color w:val="000000" w:themeColor="text1"/>
          <w:sz w:val="24"/>
          <w:szCs w:val="24"/>
        </w:rPr>
        <w:t xml:space="preserve">is greater than </w:t>
      </w:r>
      <w:r w:rsidR="00D32B5E">
        <w:rPr>
          <w:color w:val="000000" w:themeColor="text1"/>
          <w:sz w:val="24"/>
          <w:szCs w:val="24"/>
        </w:rPr>
        <w:t xml:space="preserve">the </w:t>
      </w:r>
      <w:r w:rsidR="00D32B5E" w:rsidRPr="00C640B5">
        <w:rPr>
          <w:color w:val="000000" w:themeColor="text1"/>
          <w:sz w:val="24"/>
          <w:szCs w:val="24"/>
        </w:rPr>
        <w:t>100 ton per year</w:t>
      </w:r>
      <w:r w:rsidR="00D32B5E">
        <w:rPr>
          <w:color w:val="000000" w:themeColor="text1"/>
          <w:sz w:val="24"/>
          <w:szCs w:val="24"/>
        </w:rPr>
        <w:t xml:space="preserve"> (tpy)</w:t>
      </w:r>
      <w:r w:rsidR="00D32B5E" w:rsidRPr="00C640B5">
        <w:rPr>
          <w:color w:val="000000" w:themeColor="text1"/>
          <w:sz w:val="24"/>
          <w:szCs w:val="24"/>
        </w:rPr>
        <w:t xml:space="preserve"> </w:t>
      </w:r>
      <w:r w:rsidR="008176E4">
        <w:rPr>
          <w:color w:val="000000" w:themeColor="text1"/>
          <w:sz w:val="24"/>
          <w:szCs w:val="24"/>
        </w:rPr>
        <w:t xml:space="preserve">major source </w:t>
      </w:r>
      <w:r w:rsidR="00011B14">
        <w:rPr>
          <w:color w:val="000000" w:themeColor="text1"/>
          <w:sz w:val="24"/>
          <w:szCs w:val="24"/>
        </w:rPr>
        <w:t>threshold</w:t>
      </w:r>
      <w:r w:rsidR="00352D52">
        <w:rPr>
          <w:color w:val="000000" w:themeColor="text1"/>
          <w:sz w:val="24"/>
          <w:szCs w:val="24"/>
        </w:rPr>
        <w:t>. (Note that the majority of PM, PM</w:t>
      </w:r>
      <w:r w:rsidR="00352D52">
        <w:rPr>
          <w:color w:val="000000" w:themeColor="text1"/>
          <w:sz w:val="24"/>
          <w:szCs w:val="24"/>
          <w:vertAlign w:val="subscript"/>
        </w:rPr>
        <w:t>10</w:t>
      </w:r>
      <w:r w:rsidR="00352D52">
        <w:rPr>
          <w:color w:val="000000" w:themeColor="text1"/>
          <w:sz w:val="24"/>
          <w:szCs w:val="24"/>
        </w:rPr>
        <w:t>, and PM</w:t>
      </w:r>
      <w:r w:rsidR="00352D52">
        <w:rPr>
          <w:color w:val="000000" w:themeColor="text1"/>
          <w:sz w:val="24"/>
          <w:szCs w:val="24"/>
          <w:vertAlign w:val="subscript"/>
        </w:rPr>
        <w:t>2.5</w:t>
      </w:r>
      <w:r w:rsidR="00352D52">
        <w:rPr>
          <w:color w:val="000000" w:themeColor="text1"/>
          <w:sz w:val="24"/>
          <w:szCs w:val="24"/>
        </w:rPr>
        <w:t xml:space="preserve"> emissions are from roadways, which are considered a fugitive source of emissions.) </w:t>
      </w:r>
      <w:r w:rsidR="00D32B5E" w:rsidRPr="00C640B5">
        <w:rPr>
          <w:color w:val="000000" w:themeColor="text1"/>
          <w:sz w:val="24"/>
          <w:szCs w:val="24"/>
        </w:rPr>
        <w:t xml:space="preserve">The facility does not have the potential to emit greater than or equal to 10 </w:t>
      </w:r>
      <w:r w:rsidR="00FF0D94">
        <w:rPr>
          <w:color w:val="000000" w:themeColor="text1"/>
          <w:sz w:val="24"/>
          <w:szCs w:val="24"/>
        </w:rPr>
        <w:t>tpy</w:t>
      </w:r>
      <w:r w:rsidR="00D32B5E" w:rsidRPr="00C640B5">
        <w:rPr>
          <w:color w:val="000000" w:themeColor="text1"/>
          <w:sz w:val="24"/>
          <w:szCs w:val="24"/>
        </w:rPr>
        <w:t xml:space="preserve"> of any single</w:t>
      </w:r>
      <w:r w:rsidR="00D32B5E">
        <w:rPr>
          <w:color w:val="000000" w:themeColor="text1"/>
          <w:sz w:val="24"/>
          <w:szCs w:val="24"/>
        </w:rPr>
        <w:t xml:space="preserve"> hazardous air pollutant</w:t>
      </w:r>
      <w:r w:rsidR="00D32B5E" w:rsidRPr="00C640B5">
        <w:rPr>
          <w:color w:val="000000" w:themeColor="text1"/>
          <w:sz w:val="24"/>
          <w:szCs w:val="24"/>
        </w:rPr>
        <w:t xml:space="preserve"> </w:t>
      </w:r>
      <w:r w:rsidR="00D32B5E">
        <w:rPr>
          <w:color w:val="000000" w:themeColor="text1"/>
          <w:sz w:val="24"/>
          <w:szCs w:val="24"/>
        </w:rPr>
        <w:t>(</w:t>
      </w:r>
      <w:r w:rsidR="00D32B5E" w:rsidRPr="00C640B5">
        <w:rPr>
          <w:color w:val="000000" w:themeColor="text1"/>
          <w:sz w:val="24"/>
          <w:szCs w:val="24"/>
        </w:rPr>
        <w:t>HAP</w:t>
      </w:r>
      <w:r w:rsidR="00D32B5E">
        <w:rPr>
          <w:color w:val="000000" w:themeColor="text1"/>
          <w:sz w:val="24"/>
          <w:szCs w:val="24"/>
        </w:rPr>
        <w:t>)</w:t>
      </w:r>
      <w:r w:rsidR="00D32B5E" w:rsidRPr="00C640B5">
        <w:rPr>
          <w:color w:val="000000" w:themeColor="text1"/>
          <w:sz w:val="24"/>
          <w:szCs w:val="24"/>
        </w:rPr>
        <w:t xml:space="preserve"> or 25 </w:t>
      </w:r>
      <w:r w:rsidR="00FF0D94">
        <w:rPr>
          <w:color w:val="000000" w:themeColor="text1"/>
          <w:sz w:val="24"/>
          <w:szCs w:val="24"/>
        </w:rPr>
        <w:t>tpy</w:t>
      </w:r>
      <w:r w:rsidR="00D32B5E" w:rsidRPr="00C640B5">
        <w:rPr>
          <w:color w:val="000000" w:themeColor="text1"/>
          <w:sz w:val="24"/>
          <w:szCs w:val="24"/>
        </w:rPr>
        <w:t xml:space="preserve"> of total HAPs. Therefore, the facility is </w:t>
      </w:r>
      <w:r w:rsidR="00D32B5E">
        <w:rPr>
          <w:color w:val="000000" w:themeColor="text1"/>
          <w:sz w:val="24"/>
          <w:szCs w:val="24"/>
        </w:rPr>
        <w:t>considered an area source of HAP emissions</w:t>
      </w:r>
      <w:r w:rsidR="00D32B5E" w:rsidRPr="00C640B5">
        <w:rPr>
          <w:color w:val="000000" w:themeColor="text1"/>
          <w:sz w:val="24"/>
          <w:szCs w:val="24"/>
        </w:rPr>
        <w:t>.</w:t>
      </w:r>
    </w:p>
    <w:p w14:paraId="44E0076E" w14:textId="77777777" w:rsidR="009733EB" w:rsidRDefault="009733EB" w:rsidP="00104CE2">
      <w:pPr>
        <w:jc w:val="both"/>
        <w:rPr>
          <w:color w:val="4F81BD" w:themeColor="accent1"/>
          <w:sz w:val="24"/>
          <w:szCs w:val="24"/>
        </w:rPr>
      </w:pPr>
    </w:p>
    <w:p w14:paraId="6189D901" w14:textId="77777777" w:rsidR="009733EB" w:rsidRPr="006A52EB" w:rsidRDefault="009733EB" w:rsidP="00577CB8">
      <w:pPr>
        <w:keepNext/>
        <w:jc w:val="both"/>
        <w:rPr>
          <w:b/>
          <w:sz w:val="24"/>
          <w:szCs w:val="24"/>
          <w:vertAlign w:val="superscript"/>
        </w:rPr>
      </w:pPr>
      <w:r>
        <w:rPr>
          <w:b/>
          <w:sz w:val="24"/>
          <w:szCs w:val="24"/>
        </w:rPr>
        <w:t>Facility-Wide Potential-to-Emit</w:t>
      </w:r>
      <w:r w:rsidR="00991620">
        <w:rPr>
          <w:b/>
          <w:sz w:val="24"/>
          <w:szCs w:val="24"/>
        </w:rPr>
        <w:t xml:space="preserve"> Summary</w:t>
      </w:r>
      <w:r w:rsidR="00ED2C87">
        <w:rPr>
          <w:b/>
          <w:sz w:val="24"/>
          <w:szCs w:val="24"/>
          <w:vertAlign w:val="superscript"/>
        </w:rPr>
        <w:t>1</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70"/>
        <w:gridCol w:w="2070"/>
        <w:gridCol w:w="2070"/>
      </w:tblGrid>
      <w:tr w:rsidR="00E05410" w14:paraId="421FE112" w14:textId="6DCC7034" w:rsidTr="00AC6B34">
        <w:trPr>
          <w:tblHeader/>
        </w:trPr>
        <w:tc>
          <w:tcPr>
            <w:tcW w:w="3870" w:type="dxa"/>
            <w:tcBorders>
              <w:top w:val="double" w:sz="4" w:space="0" w:color="auto"/>
            </w:tcBorders>
            <w:shd w:val="clear" w:color="auto" w:fill="BFBFBF" w:themeFill="background1" w:themeFillShade="BF"/>
            <w:vAlign w:val="center"/>
          </w:tcPr>
          <w:p w14:paraId="0056F799" w14:textId="77777777" w:rsidR="00E05410" w:rsidRPr="006A52EB" w:rsidRDefault="00E05410" w:rsidP="00AC6B34">
            <w:pPr>
              <w:keepNext/>
              <w:spacing w:before="60" w:after="60"/>
              <w:rPr>
                <w:sz w:val="24"/>
                <w:szCs w:val="24"/>
              </w:rPr>
            </w:pPr>
            <w:r w:rsidRPr="006A52EB">
              <w:rPr>
                <w:sz w:val="24"/>
                <w:szCs w:val="24"/>
              </w:rPr>
              <w:t>Pollutant</w:t>
            </w:r>
          </w:p>
        </w:tc>
        <w:tc>
          <w:tcPr>
            <w:tcW w:w="2070" w:type="dxa"/>
            <w:tcBorders>
              <w:top w:val="double" w:sz="4" w:space="0" w:color="auto"/>
            </w:tcBorders>
            <w:shd w:val="clear" w:color="auto" w:fill="BFBFBF" w:themeFill="background1" w:themeFillShade="BF"/>
            <w:vAlign w:val="center"/>
          </w:tcPr>
          <w:p w14:paraId="23656234" w14:textId="0ABFF6BE" w:rsidR="00E05410" w:rsidRPr="008176E4" w:rsidRDefault="00E05410" w:rsidP="00AC6B34">
            <w:pPr>
              <w:keepNext/>
              <w:spacing w:before="60" w:after="60"/>
              <w:jc w:val="center"/>
              <w:rPr>
                <w:sz w:val="24"/>
                <w:szCs w:val="24"/>
              </w:rPr>
            </w:pPr>
            <w:r w:rsidRPr="006A52EB">
              <w:rPr>
                <w:sz w:val="24"/>
                <w:szCs w:val="24"/>
              </w:rPr>
              <w:t>PTE Emissions</w:t>
            </w:r>
            <w:r w:rsidRPr="00EA021B">
              <w:rPr>
                <w:sz w:val="24"/>
                <w:szCs w:val="24"/>
                <w:vertAlign w:val="superscript"/>
              </w:rPr>
              <w:t>2</w:t>
            </w:r>
            <w:r w:rsidR="008176E4">
              <w:rPr>
                <w:sz w:val="24"/>
                <w:szCs w:val="24"/>
              </w:rPr>
              <w:t xml:space="preserve"> - Current</w:t>
            </w:r>
          </w:p>
          <w:p w14:paraId="03753286" w14:textId="77777777" w:rsidR="00E05410" w:rsidRPr="006A52EB" w:rsidRDefault="00E05410" w:rsidP="00AC6B34">
            <w:pPr>
              <w:keepNext/>
              <w:spacing w:before="60" w:after="60"/>
              <w:jc w:val="center"/>
              <w:rPr>
                <w:sz w:val="24"/>
                <w:szCs w:val="24"/>
              </w:rPr>
            </w:pPr>
            <w:r w:rsidRPr="006A52EB">
              <w:rPr>
                <w:sz w:val="24"/>
                <w:szCs w:val="24"/>
              </w:rPr>
              <w:t>(tons/yr)</w:t>
            </w:r>
          </w:p>
        </w:tc>
        <w:tc>
          <w:tcPr>
            <w:tcW w:w="2070" w:type="dxa"/>
            <w:tcBorders>
              <w:top w:val="double" w:sz="4" w:space="0" w:color="auto"/>
            </w:tcBorders>
            <w:shd w:val="clear" w:color="auto" w:fill="BFBFBF" w:themeFill="background1" w:themeFillShade="BF"/>
          </w:tcPr>
          <w:p w14:paraId="7CD881FE" w14:textId="64CCBF91" w:rsidR="00E05410" w:rsidRDefault="00E05410" w:rsidP="00AC6B34">
            <w:pPr>
              <w:keepNext/>
              <w:spacing w:before="60" w:after="60"/>
              <w:jc w:val="center"/>
              <w:rPr>
                <w:sz w:val="24"/>
                <w:szCs w:val="24"/>
              </w:rPr>
            </w:pPr>
            <w:r>
              <w:rPr>
                <w:sz w:val="24"/>
                <w:szCs w:val="24"/>
              </w:rPr>
              <w:t>PTE Emissions</w:t>
            </w:r>
            <w:r>
              <w:rPr>
                <w:sz w:val="24"/>
                <w:szCs w:val="24"/>
                <w:vertAlign w:val="superscript"/>
              </w:rPr>
              <w:t>2</w:t>
            </w:r>
            <w:r w:rsidR="0056381C">
              <w:rPr>
                <w:sz w:val="24"/>
                <w:szCs w:val="24"/>
                <w:vertAlign w:val="superscript"/>
              </w:rPr>
              <w:t>,3</w:t>
            </w:r>
            <w:r>
              <w:rPr>
                <w:sz w:val="24"/>
                <w:szCs w:val="24"/>
              </w:rPr>
              <w:t xml:space="preserve"> – After Expansion</w:t>
            </w:r>
          </w:p>
          <w:p w14:paraId="56F97972" w14:textId="00AEF506" w:rsidR="00E05410" w:rsidRPr="006A52EB" w:rsidRDefault="00E05410" w:rsidP="00AC6B34">
            <w:pPr>
              <w:keepNext/>
              <w:spacing w:before="60" w:after="60"/>
              <w:jc w:val="center"/>
              <w:rPr>
                <w:sz w:val="24"/>
                <w:szCs w:val="24"/>
              </w:rPr>
            </w:pPr>
            <w:r>
              <w:rPr>
                <w:sz w:val="24"/>
                <w:szCs w:val="24"/>
              </w:rPr>
              <w:t>(tons/yr)</w:t>
            </w:r>
          </w:p>
        </w:tc>
      </w:tr>
      <w:tr w:rsidR="00A8704A" w14:paraId="1CFCC827" w14:textId="2BB6E880" w:rsidTr="00AC6B34">
        <w:tc>
          <w:tcPr>
            <w:tcW w:w="3870" w:type="dxa"/>
          </w:tcPr>
          <w:p w14:paraId="5C0A57B0" w14:textId="77777777" w:rsidR="00A8704A" w:rsidRPr="00A23A99" w:rsidRDefault="00A8704A" w:rsidP="00A8704A">
            <w:pPr>
              <w:spacing w:before="60" w:after="60"/>
              <w:rPr>
                <w:sz w:val="24"/>
                <w:szCs w:val="24"/>
              </w:rPr>
            </w:pPr>
            <w:r w:rsidRPr="00A23A99">
              <w:rPr>
                <w:sz w:val="24"/>
                <w:szCs w:val="24"/>
              </w:rPr>
              <w:t>Particulate Matter (TSP)</w:t>
            </w:r>
          </w:p>
        </w:tc>
        <w:tc>
          <w:tcPr>
            <w:tcW w:w="2070" w:type="dxa"/>
          </w:tcPr>
          <w:p w14:paraId="13D2E736" w14:textId="69650F78" w:rsidR="00A8704A" w:rsidRPr="00A23A99" w:rsidRDefault="001B0DBC" w:rsidP="00A8704A">
            <w:pPr>
              <w:spacing w:before="60" w:after="60"/>
              <w:jc w:val="center"/>
              <w:rPr>
                <w:sz w:val="24"/>
                <w:szCs w:val="24"/>
              </w:rPr>
            </w:pPr>
            <w:r>
              <w:rPr>
                <w:sz w:val="24"/>
                <w:szCs w:val="24"/>
              </w:rPr>
              <w:t>403.58</w:t>
            </w:r>
          </w:p>
        </w:tc>
        <w:tc>
          <w:tcPr>
            <w:tcW w:w="2070" w:type="dxa"/>
          </w:tcPr>
          <w:p w14:paraId="23024361" w14:textId="7E056E32" w:rsidR="00A8704A" w:rsidRPr="00A23A99" w:rsidRDefault="001B0DBC" w:rsidP="00A8704A">
            <w:pPr>
              <w:spacing w:before="60" w:after="60"/>
              <w:jc w:val="center"/>
              <w:rPr>
                <w:sz w:val="24"/>
                <w:szCs w:val="24"/>
              </w:rPr>
            </w:pPr>
            <w:r>
              <w:rPr>
                <w:sz w:val="24"/>
                <w:szCs w:val="24"/>
              </w:rPr>
              <w:t>403.58</w:t>
            </w:r>
          </w:p>
        </w:tc>
      </w:tr>
      <w:tr w:rsidR="00A8704A" w14:paraId="25FF0AF0" w14:textId="651F9238" w:rsidTr="00AC6B34">
        <w:tc>
          <w:tcPr>
            <w:tcW w:w="3870" w:type="dxa"/>
          </w:tcPr>
          <w:p w14:paraId="2897493A" w14:textId="77777777" w:rsidR="00A8704A" w:rsidRPr="006A52EB" w:rsidRDefault="00A8704A" w:rsidP="00A8704A">
            <w:pPr>
              <w:spacing w:before="60" w:after="60"/>
              <w:rPr>
                <w:sz w:val="24"/>
                <w:szCs w:val="24"/>
                <w:vertAlign w:val="subscript"/>
              </w:rPr>
            </w:pPr>
            <w:r>
              <w:rPr>
                <w:sz w:val="24"/>
                <w:szCs w:val="24"/>
              </w:rPr>
              <w:t>PM</w:t>
            </w:r>
            <w:r>
              <w:rPr>
                <w:sz w:val="24"/>
                <w:szCs w:val="24"/>
                <w:vertAlign w:val="subscript"/>
              </w:rPr>
              <w:t>10</w:t>
            </w:r>
          </w:p>
        </w:tc>
        <w:tc>
          <w:tcPr>
            <w:tcW w:w="2070" w:type="dxa"/>
          </w:tcPr>
          <w:p w14:paraId="4EE0ED5E" w14:textId="43499C8E" w:rsidR="00A8704A" w:rsidRPr="006A52EB" w:rsidRDefault="00A8704A" w:rsidP="00A8704A">
            <w:pPr>
              <w:spacing w:before="60" w:after="60"/>
              <w:jc w:val="center"/>
              <w:rPr>
                <w:sz w:val="24"/>
                <w:szCs w:val="24"/>
              </w:rPr>
            </w:pPr>
            <w:r>
              <w:rPr>
                <w:sz w:val="24"/>
                <w:szCs w:val="24"/>
              </w:rPr>
              <w:t>112.4</w:t>
            </w:r>
            <w:r w:rsidR="001B0DBC">
              <w:rPr>
                <w:sz w:val="24"/>
                <w:szCs w:val="24"/>
              </w:rPr>
              <w:t>7</w:t>
            </w:r>
          </w:p>
        </w:tc>
        <w:tc>
          <w:tcPr>
            <w:tcW w:w="2070" w:type="dxa"/>
          </w:tcPr>
          <w:p w14:paraId="07395BE5" w14:textId="7DD68D0E" w:rsidR="00A8704A" w:rsidRDefault="00A8704A" w:rsidP="00A8704A">
            <w:pPr>
              <w:spacing w:before="60" w:after="60"/>
              <w:jc w:val="center"/>
              <w:rPr>
                <w:sz w:val="24"/>
                <w:szCs w:val="24"/>
              </w:rPr>
            </w:pPr>
            <w:r>
              <w:rPr>
                <w:sz w:val="24"/>
                <w:szCs w:val="24"/>
              </w:rPr>
              <w:t>112.4</w:t>
            </w:r>
            <w:r w:rsidR="001B0DBC">
              <w:rPr>
                <w:sz w:val="24"/>
                <w:szCs w:val="24"/>
              </w:rPr>
              <w:t>7</w:t>
            </w:r>
          </w:p>
        </w:tc>
      </w:tr>
      <w:tr w:rsidR="00A8704A" w14:paraId="6D7535D0" w14:textId="50D3C1D8" w:rsidTr="00AC6B34">
        <w:tc>
          <w:tcPr>
            <w:tcW w:w="3870" w:type="dxa"/>
          </w:tcPr>
          <w:p w14:paraId="44536038" w14:textId="77777777" w:rsidR="00A8704A" w:rsidRPr="006A52EB" w:rsidRDefault="00A8704A" w:rsidP="00A8704A">
            <w:pPr>
              <w:spacing w:before="60" w:after="60"/>
              <w:rPr>
                <w:sz w:val="24"/>
                <w:szCs w:val="24"/>
                <w:vertAlign w:val="subscript"/>
              </w:rPr>
            </w:pPr>
            <w:r>
              <w:rPr>
                <w:sz w:val="24"/>
                <w:szCs w:val="24"/>
              </w:rPr>
              <w:t>PM</w:t>
            </w:r>
            <w:r>
              <w:rPr>
                <w:sz w:val="24"/>
                <w:szCs w:val="24"/>
                <w:vertAlign w:val="subscript"/>
              </w:rPr>
              <w:t>2.5</w:t>
            </w:r>
          </w:p>
        </w:tc>
        <w:tc>
          <w:tcPr>
            <w:tcW w:w="2070" w:type="dxa"/>
          </w:tcPr>
          <w:p w14:paraId="4D9F25AD" w14:textId="47B4B4B0" w:rsidR="00A8704A" w:rsidRPr="006A52EB" w:rsidRDefault="001B0DBC" w:rsidP="00A8704A">
            <w:pPr>
              <w:spacing w:before="60" w:after="60"/>
              <w:jc w:val="center"/>
              <w:rPr>
                <w:sz w:val="24"/>
                <w:szCs w:val="24"/>
              </w:rPr>
            </w:pPr>
            <w:r>
              <w:rPr>
                <w:sz w:val="24"/>
                <w:szCs w:val="24"/>
              </w:rPr>
              <w:t>16.49</w:t>
            </w:r>
          </w:p>
        </w:tc>
        <w:tc>
          <w:tcPr>
            <w:tcW w:w="2070" w:type="dxa"/>
          </w:tcPr>
          <w:p w14:paraId="66C0681D" w14:textId="18F13C72" w:rsidR="00A8704A" w:rsidRDefault="001B0DBC" w:rsidP="00A8704A">
            <w:pPr>
              <w:spacing w:before="60" w:after="60"/>
              <w:jc w:val="center"/>
              <w:rPr>
                <w:sz w:val="24"/>
                <w:szCs w:val="24"/>
              </w:rPr>
            </w:pPr>
            <w:r>
              <w:rPr>
                <w:sz w:val="24"/>
                <w:szCs w:val="24"/>
              </w:rPr>
              <w:t>16.49</w:t>
            </w:r>
          </w:p>
        </w:tc>
      </w:tr>
      <w:tr w:rsidR="00A8704A" w14:paraId="6097DCD6" w14:textId="5A844109" w:rsidTr="00AC6B34">
        <w:tc>
          <w:tcPr>
            <w:tcW w:w="3870" w:type="dxa"/>
          </w:tcPr>
          <w:p w14:paraId="449E4FD8" w14:textId="77777777" w:rsidR="00A8704A" w:rsidRPr="006A52EB" w:rsidRDefault="00A8704A" w:rsidP="00A8704A">
            <w:pPr>
              <w:spacing w:before="60" w:after="60"/>
              <w:rPr>
                <w:sz w:val="24"/>
                <w:szCs w:val="24"/>
              </w:rPr>
            </w:pPr>
            <w:r>
              <w:rPr>
                <w:sz w:val="24"/>
                <w:szCs w:val="24"/>
              </w:rPr>
              <w:t>Sulfur Dioxide (SO</w:t>
            </w:r>
            <w:r>
              <w:rPr>
                <w:sz w:val="24"/>
                <w:szCs w:val="24"/>
                <w:vertAlign w:val="subscript"/>
              </w:rPr>
              <w:t>2</w:t>
            </w:r>
            <w:r>
              <w:rPr>
                <w:sz w:val="24"/>
                <w:szCs w:val="24"/>
              </w:rPr>
              <w:t>)</w:t>
            </w:r>
          </w:p>
        </w:tc>
        <w:tc>
          <w:tcPr>
            <w:tcW w:w="2070" w:type="dxa"/>
          </w:tcPr>
          <w:p w14:paraId="0869DEE0" w14:textId="47590DFD" w:rsidR="00A8704A" w:rsidRPr="006A52EB" w:rsidRDefault="00A8704A" w:rsidP="00A8704A">
            <w:pPr>
              <w:spacing w:before="60" w:after="60"/>
              <w:jc w:val="center"/>
              <w:rPr>
                <w:sz w:val="24"/>
                <w:szCs w:val="24"/>
              </w:rPr>
            </w:pPr>
            <w:r>
              <w:rPr>
                <w:sz w:val="24"/>
                <w:szCs w:val="24"/>
              </w:rPr>
              <w:t>3.79</w:t>
            </w:r>
          </w:p>
        </w:tc>
        <w:tc>
          <w:tcPr>
            <w:tcW w:w="2070" w:type="dxa"/>
          </w:tcPr>
          <w:p w14:paraId="1EBFE6D0" w14:textId="1C4CABFD" w:rsidR="00A8704A" w:rsidRDefault="00A8704A" w:rsidP="00A8704A">
            <w:pPr>
              <w:spacing w:before="60" w:after="60"/>
              <w:jc w:val="center"/>
              <w:rPr>
                <w:sz w:val="24"/>
                <w:szCs w:val="24"/>
              </w:rPr>
            </w:pPr>
            <w:r>
              <w:rPr>
                <w:sz w:val="24"/>
                <w:szCs w:val="24"/>
              </w:rPr>
              <w:t>3.79</w:t>
            </w:r>
          </w:p>
        </w:tc>
      </w:tr>
      <w:tr w:rsidR="00A8704A" w14:paraId="498E8BF1" w14:textId="08E91997" w:rsidTr="00AC6B34">
        <w:tc>
          <w:tcPr>
            <w:tcW w:w="3870" w:type="dxa"/>
          </w:tcPr>
          <w:p w14:paraId="3CFFF70D" w14:textId="77777777" w:rsidR="00A8704A" w:rsidRPr="006A52EB" w:rsidRDefault="00A8704A" w:rsidP="00A8704A">
            <w:pPr>
              <w:spacing w:before="60" w:after="60"/>
              <w:rPr>
                <w:sz w:val="24"/>
                <w:szCs w:val="24"/>
              </w:rPr>
            </w:pPr>
            <w:r>
              <w:rPr>
                <w:sz w:val="24"/>
                <w:szCs w:val="24"/>
              </w:rPr>
              <w:t>Nitrogen Oxides (NO</w:t>
            </w:r>
            <w:r>
              <w:rPr>
                <w:sz w:val="24"/>
                <w:szCs w:val="24"/>
                <w:vertAlign w:val="subscript"/>
              </w:rPr>
              <w:t>x</w:t>
            </w:r>
            <w:r>
              <w:rPr>
                <w:sz w:val="24"/>
                <w:szCs w:val="24"/>
              </w:rPr>
              <w:t>)</w:t>
            </w:r>
          </w:p>
        </w:tc>
        <w:tc>
          <w:tcPr>
            <w:tcW w:w="2070" w:type="dxa"/>
          </w:tcPr>
          <w:p w14:paraId="42B58A7C" w14:textId="6C532F54" w:rsidR="00A8704A" w:rsidRPr="006A52EB" w:rsidRDefault="00A8704A" w:rsidP="00A8704A">
            <w:pPr>
              <w:spacing w:before="60" w:after="60"/>
              <w:jc w:val="center"/>
              <w:rPr>
                <w:sz w:val="24"/>
                <w:szCs w:val="24"/>
              </w:rPr>
            </w:pPr>
            <w:r>
              <w:rPr>
                <w:sz w:val="24"/>
                <w:szCs w:val="24"/>
              </w:rPr>
              <w:t>22.75</w:t>
            </w:r>
          </w:p>
        </w:tc>
        <w:tc>
          <w:tcPr>
            <w:tcW w:w="2070" w:type="dxa"/>
          </w:tcPr>
          <w:p w14:paraId="7187626F" w14:textId="446EBDA9" w:rsidR="00A8704A" w:rsidRDefault="00A8704A" w:rsidP="00A8704A">
            <w:pPr>
              <w:spacing w:before="60" w:after="60"/>
              <w:jc w:val="center"/>
              <w:rPr>
                <w:sz w:val="24"/>
                <w:szCs w:val="24"/>
              </w:rPr>
            </w:pPr>
            <w:r>
              <w:rPr>
                <w:sz w:val="24"/>
                <w:szCs w:val="24"/>
              </w:rPr>
              <w:t>22.75</w:t>
            </w:r>
          </w:p>
        </w:tc>
      </w:tr>
      <w:tr w:rsidR="00A8704A" w14:paraId="5C93BABA" w14:textId="75C49F6B" w:rsidTr="00AC6B34">
        <w:tc>
          <w:tcPr>
            <w:tcW w:w="3870" w:type="dxa"/>
          </w:tcPr>
          <w:p w14:paraId="7C9B6EAB" w14:textId="77777777" w:rsidR="00A8704A" w:rsidRPr="006A52EB" w:rsidRDefault="00A8704A" w:rsidP="00A8704A">
            <w:pPr>
              <w:spacing w:before="60" w:after="60"/>
              <w:rPr>
                <w:sz w:val="24"/>
                <w:szCs w:val="24"/>
              </w:rPr>
            </w:pPr>
            <w:r>
              <w:rPr>
                <w:sz w:val="24"/>
                <w:szCs w:val="24"/>
              </w:rPr>
              <w:t>Carbon Monoxide (CO)</w:t>
            </w:r>
          </w:p>
        </w:tc>
        <w:tc>
          <w:tcPr>
            <w:tcW w:w="2070" w:type="dxa"/>
          </w:tcPr>
          <w:p w14:paraId="71F19951" w14:textId="598E822F" w:rsidR="00A8704A" w:rsidRPr="006A52EB" w:rsidRDefault="00A8704A" w:rsidP="00A8704A">
            <w:pPr>
              <w:spacing w:before="60" w:after="60"/>
              <w:jc w:val="center"/>
              <w:rPr>
                <w:sz w:val="24"/>
                <w:szCs w:val="24"/>
              </w:rPr>
            </w:pPr>
            <w:r>
              <w:rPr>
                <w:sz w:val="24"/>
                <w:szCs w:val="24"/>
              </w:rPr>
              <w:t>103.15</w:t>
            </w:r>
          </w:p>
        </w:tc>
        <w:tc>
          <w:tcPr>
            <w:tcW w:w="2070" w:type="dxa"/>
          </w:tcPr>
          <w:p w14:paraId="1324CDCD" w14:textId="676ED170" w:rsidR="00A8704A" w:rsidRDefault="00A8704A" w:rsidP="00A8704A">
            <w:pPr>
              <w:spacing w:before="60" w:after="60"/>
              <w:jc w:val="center"/>
              <w:rPr>
                <w:sz w:val="24"/>
                <w:szCs w:val="24"/>
              </w:rPr>
            </w:pPr>
            <w:r>
              <w:rPr>
                <w:sz w:val="24"/>
                <w:szCs w:val="24"/>
              </w:rPr>
              <w:t>103.15</w:t>
            </w:r>
          </w:p>
        </w:tc>
      </w:tr>
      <w:tr w:rsidR="00A8704A" w14:paraId="109FCE51" w14:textId="3565186B" w:rsidTr="00AC6B34">
        <w:tc>
          <w:tcPr>
            <w:tcW w:w="3870" w:type="dxa"/>
          </w:tcPr>
          <w:p w14:paraId="2A6F469E" w14:textId="77777777" w:rsidR="00A8704A" w:rsidRDefault="00A8704A" w:rsidP="00A8704A">
            <w:pPr>
              <w:spacing w:before="60" w:after="60"/>
              <w:rPr>
                <w:sz w:val="24"/>
                <w:szCs w:val="24"/>
              </w:rPr>
            </w:pPr>
            <w:r>
              <w:rPr>
                <w:sz w:val="24"/>
                <w:szCs w:val="24"/>
              </w:rPr>
              <w:t>Volatile Organic Compounds (VOC)</w:t>
            </w:r>
          </w:p>
        </w:tc>
        <w:tc>
          <w:tcPr>
            <w:tcW w:w="2070" w:type="dxa"/>
          </w:tcPr>
          <w:p w14:paraId="09F4D519" w14:textId="5C2B2DFD" w:rsidR="00A8704A" w:rsidRPr="006A52EB" w:rsidRDefault="00A8704A" w:rsidP="00A8704A">
            <w:pPr>
              <w:spacing w:before="60" w:after="60"/>
              <w:jc w:val="center"/>
              <w:rPr>
                <w:sz w:val="24"/>
                <w:szCs w:val="24"/>
              </w:rPr>
            </w:pPr>
            <w:r>
              <w:rPr>
                <w:sz w:val="24"/>
                <w:szCs w:val="24"/>
              </w:rPr>
              <w:t>9.85</w:t>
            </w:r>
          </w:p>
        </w:tc>
        <w:tc>
          <w:tcPr>
            <w:tcW w:w="2070" w:type="dxa"/>
          </w:tcPr>
          <w:p w14:paraId="0266891B" w14:textId="469C6AF0" w:rsidR="00A8704A" w:rsidRDefault="00A8704A" w:rsidP="00A8704A">
            <w:pPr>
              <w:spacing w:before="60" w:after="60"/>
              <w:jc w:val="center"/>
              <w:rPr>
                <w:sz w:val="24"/>
                <w:szCs w:val="24"/>
              </w:rPr>
            </w:pPr>
            <w:r>
              <w:rPr>
                <w:sz w:val="24"/>
                <w:szCs w:val="24"/>
              </w:rPr>
              <w:t>17.56</w:t>
            </w:r>
          </w:p>
        </w:tc>
      </w:tr>
      <w:tr w:rsidR="00A8704A" w14:paraId="32932733" w14:textId="1000E883" w:rsidTr="00AC6B34">
        <w:tc>
          <w:tcPr>
            <w:tcW w:w="3870" w:type="dxa"/>
          </w:tcPr>
          <w:p w14:paraId="5DBAAFAC" w14:textId="77777777" w:rsidR="00A8704A" w:rsidRPr="006A52EB" w:rsidRDefault="00A8704A" w:rsidP="00A8704A">
            <w:pPr>
              <w:spacing w:before="60" w:after="60"/>
              <w:rPr>
                <w:sz w:val="24"/>
                <w:szCs w:val="24"/>
              </w:rPr>
            </w:pPr>
            <w:r>
              <w:rPr>
                <w:sz w:val="24"/>
                <w:szCs w:val="24"/>
              </w:rPr>
              <w:t>Total Reduced Sulfur (TRS)</w:t>
            </w:r>
          </w:p>
        </w:tc>
        <w:tc>
          <w:tcPr>
            <w:tcW w:w="2070" w:type="dxa"/>
          </w:tcPr>
          <w:p w14:paraId="5DF246CE" w14:textId="77777777" w:rsidR="00A8704A" w:rsidRPr="006A52EB" w:rsidRDefault="00A8704A" w:rsidP="00A8704A">
            <w:pPr>
              <w:spacing w:before="60" w:after="60"/>
              <w:jc w:val="center"/>
              <w:rPr>
                <w:sz w:val="24"/>
                <w:szCs w:val="24"/>
              </w:rPr>
            </w:pPr>
            <w:r>
              <w:rPr>
                <w:sz w:val="24"/>
                <w:szCs w:val="24"/>
              </w:rPr>
              <w:t>1.14</w:t>
            </w:r>
          </w:p>
        </w:tc>
        <w:tc>
          <w:tcPr>
            <w:tcW w:w="2070" w:type="dxa"/>
          </w:tcPr>
          <w:p w14:paraId="0DE49BDF" w14:textId="6F01ABCB" w:rsidR="00A8704A" w:rsidRDefault="00343BA0" w:rsidP="00A8704A">
            <w:pPr>
              <w:spacing w:before="60" w:after="60"/>
              <w:jc w:val="center"/>
              <w:rPr>
                <w:sz w:val="24"/>
                <w:szCs w:val="24"/>
              </w:rPr>
            </w:pPr>
            <w:r>
              <w:rPr>
                <w:sz w:val="24"/>
                <w:szCs w:val="24"/>
              </w:rPr>
              <w:t>2.10</w:t>
            </w:r>
          </w:p>
        </w:tc>
      </w:tr>
      <w:tr w:rsidR="00A8704A" w14:paraId="20D01325" w14:textId="5D55A4BB" w:rsidTr="00AC6B34">
        <w:tc>
          <w:tcPr>
            <w:tcW w:w="3870" w:type="dxa"/>
            <w:tcBorders>
              <w:bottom w:val="double" w:sz="4" w:space="0" w:color="auto"/>
            </w:tcBorders>
          </w:tcPr>
          <w:p w14:paraId="052BC757" w14:textId="77777777" w:rsidR="00A8704A" w:rsidRDefault="00A8704A" w:rsidP="00A8704A">
            <w:pPr>
              <w:spacing w:before="60" w:after="60"/>
              <w:rPr>
                <w:sz w:val="24"/>
                <w:szCs w:val="24"/>
              </w:rPr>
            </w:pPr>
            <w:r>
              <w:rPr>
                <w:sz w:val="24"/>
                <w:szCs w:val="24"/>
              </w:rPr>
              <w:t xml:space="preserve">Total HAP </w:t>
            </w:r>
          </w:p>
        </w:tc>
        <w:tc>
          <w:tcPr>
            <w:tcW w:w="2070" w:type="dxa"/>
            <w:tcBorders>
              <w:bottom w:val="double" w:sz="4" w:space="0" w:color="auto"/>
            </w:tcBorders>
          </w:tcPr>
          <w:p w14:paraId="7B8B0F1F" w14:textId="03A28CFF" w:rsidR="00A8704A" w:rsidRPr="006A52EB" w:rsidRDefault="00A8704A" w:rsidP="00A8704A">
            <w:pPr>
              <w:spacing w:before="60" w:after="60"/>
              <w:jc w:val="center"/>
              <w:rPr>
                <w:sz w:val="24"/>
                <w:szCs w:val="24"/>
              </w:rPr>
            </w:pPr>
            <w:r>
              <w:rPr>
                <w:sz w:val="24"/>
                <w:szCs w:val="24"/>
              </w:rPr>
              <w:t>8.32</w:t>
            </w:r>
          </w:p>
        </w:tc>
        <w:tc>
          <w:tcPr>
            <w:tcW w:w="2070" w:type="dxa"/>
            <w:tcBorders>
              <w:bottom w:val="double" w:sz="4" w:space="0" w:color="auto"/>
            </w:tcBorders>
          </w:tcPr>
          <w:p w14:paraId="399D7D10" w14:textId="65C866B6" w:rsidR="00A8704A" w:rsidRDefault="00A8704A" w:rsidP="00A8704A">
            <w:pPr>
              <w:spacing w:before="60" w:after="60"/>
              <w:jc w:val="center"/>
              <w:rPr>
                <w:sz w:val="24"/>
                <w:szCs w:val="24"/>
              </w:rPr>
            </w:pPr>
            <w:r>
              <w:rPr>
                <w:sz w:val="24"/>
                <w:szCs w:val="24"/>
              </w:rPr>
              <w:t>13.29</w:t>
            </w:r>
          </w:p>
        </w:tc>
      </w:tr>
    </w:tbl>
    <w:p w14:paraId="697B4815" w14:textId="456DF342" w:rsidR="00D32B5E" w:rsidRDefault="00D32B5E" w:rsidP="00D32B5E">
      <w:pPr>
        <w:jc w:val="both"/>
        <w:rPr>
          <w:szCs w:val="24"/>
        </w:rPr>
      </w:pPr>
      <w:r w:rsidRPr="006A52EB">
        <w:rPr>
          <w:szCs w:val="24"/>
          <w:vertAlign w:val="superscript"/>
        </w:rPr>
        <w:t>1</w:t>
      </w:r>
      <w:r w:rsidRPr="006A52EB">
        <w:rPr>
          <w:szCs w:val="24"/>
        </w:rPr>
        <w:t xml:space="preserve"> The PTE emissions reflect any emission limits or enforceable restrictions included in the proposed permit.</w:t>
      </w:r>
    </w:p>
    <w:p w14:paraId="261A06D7" w14:textId="542DF8CC" w:rsidR="00187994" w:rsidRDefault="00187994" w:rsidP="001B0DBC">
      <w:pPr>
        <w:tabs>
          <w:tab w:val="left" w:pos="180"/>
        </w:tabs>
        <w:ind w:left="180" w:hanging="180"/>
        <w:jc w:val="both"/>
        <w:rPr>
          <w:szCs w:val="24"/>
        </w:rPr>
      </w:pPr>
      <w:r>
        <w:rPr>
          <w:szCs w:val="24"/>
          <w:vertAlign w:val="superscript"/>
        </w:rPr>
        <w:t>2</w:t>
      </w:r>
      <w:r>
        <w:rPr>
          <w:szCs w:val="24"/>
        </w:rPr>
        <w:t xml:space="preserve"> </w:t>
      </w:r>
      <w:r w:rsidR="001B0DBC">
        <w:rPr>
          <w:szCs w:val="24"/>
        </w:rPr>
        <w:tab/>
      </w:r>
      <w:r>
        <w:rPr>
          <w:szCs w:val="24"/>
        </w:rPr>
        <w:t>PTE emission include fugitive emissions, which are not included when evaluating Title V or PSD major source applicability.</w:t>
      </w:r>
    </w:p>
    <w:p w14:paraId="2CB36B82" w14:textId="4671295F" w:rsidR="0056381C" w:rsidRDefault="0056381C" w:rsidP="001B0DBC">
      <w:pPr>
        <w:tabs>
          <w:tab w:val="left" w:pos="180"/>
        </w:tabs>
        <w:ind w:left="180" w:hanging="180"/>
        <w:jc w:val="both"/>
        <w:rPr>
          <w:szCs w:val="24"/>
        </w:rPr>
      </w:pPr>
      <w:r>
        <w:rPr>
          <w:szCs w:val="24"/>
          <w:vertAlign w:val="superscript"/>
        </w:rPr>
        <w:t>3</w:t>
      </w:r>
      <w:r>
        <w:rPr>
          <w:szCs w:val="24"/>
        </w:rPr>
        <w:t xml:space="preserve"> </w:t>
      </w:r>
      <w:r w:rsidR="001B0DBC">
        <w:rPr>
          <w:szCs w:val="24"/>
        </w:rPr>
        <w:tab/>
      </w:r>
      <w:r>
        <w:rPr>
          <w:szCs w:val="24"/>
        </w:rPr>
        <w:t>PTE after the expansion assumes the existing flare will be sufficient to control LFG; therefore, there is no increase in flare combustion</w:t>
      </w:r>
      <w:r w:rsidR="001B0DBC">
        <w:rPr>
          <w:szCs w:val="24"/>
        </w:rPr>
        <w:t xml:space="preserve"> emissions</w:t>
      </w:r>
      <w:r>
        <w:rPr>
          <w:szCs w:val="24"/>
        </w:rPr>
        <w:t>.</w:t>
      </w:r>
      <w:r w:rsidR="001B0DBC">
        <w:rPr>
          <w:szCs w:val="24"/>
        </w:rPr>
        <w:t xml:space="preserve">  This may be revisited at a future time as landfill design is further developed.</w:t>
      </w:r>
    </w:p>
    <w:p w14:paraId="61456F87" w14:textId="77777777" w:rsidR="00BA3BCF" w:rsidRDefault="00BA3BCF" w:rsidP="00B90BBB">
      <w:pPr>
        <w:spacing w:before="240" w:after="120"/>
        <w:jc w:val="both"/>
        <w:rPr>
          <w:sz w:val="24"/>
          <w:szCs w:val="24"/>
          <w:u w:val="single"/>
        </w:rPr>
      </w:pPr>
      <w:r w:rsidRPr="00AD7559">
        <w:rPr>
          <w:sz w:val="24"/>
          <w:szCs w:val="24"/>
          <w:u w:val="single"/>
        </w:rPr>
        <w:lastRenderedPageBreak/>
        <w:t>PREVENTION OF SIGNIFICANT DETERIORATION (PSD) APPLICABILITY</w:t>
      </w:r>
    </w:p>
    <w:p w14:paraId="3FD46DA7" w14:textId="7E1DEC68" w:rsidR="00D32B5E" w:rsidRDefault="00D32B5E" w:rsidP="00B90BBB">
      <w:pPr>
        <w:spacing w:before="240" w:after="120"/>
        <w:jc w:val="both"/>
        <w:rPr>
          <w:color w:val="000000" w:themeColor="text1"/>
          <w:sz w:val="24"/>
          <w:szCs w:val="24"/>
        </w:rPr>
      </w:pPr>
      <w:r w:rsidRPr="00151D50">
        <w:rPr>
          <w:color w:val="000000" w:themeColor="text1"/>
          <w:sz w:val="24"/>
          <w:szCs w:val="24"/>
        </w:rPr>
        <w:t xml:space="preserve">MSWLFs are not one of the 28 categorical facilities listed in 40 </w:t>
      </w:r>
      <w:smartTag w:uri="urn:schemas-microsoft-com:office:smarttags" w:element="stockticker">
        <w:r w:rsidRPr="00151D50">
          <w:rPr>
            <w:color w:val="000000" w:themeColor="text1"/>
            <w:sz w:val="24"/>
            <w:szCs w:val="24"/>
          </w:rPr>
          <w:t>CFR</w:t>
        </w:r>
      </w:smartTag>
      <w:r w:rsidRPr="00151D50">
        <w:rPr>
          <w:color w:val="000000" w:themeColor="text1"/>
          <w:sz w:val="24"/>
          <w:szCs w:val="24"/>
        </w:rPr>
        <w:t xml:space="preserve"> 52.21(b)(1)(i)(</w:t>
      </w:r>
      <w:r>
        <w:rPr>
          <w:color w:val="000000" w:themeColor="text1"/>
          <w:sz w:val="24"/>
          <w:szCs w:val="24"/>
        </w:rPr>
        <w:t>a</w:t>
      </w:r>
      <w:r w:rsidRPr="00151D50">
        <w:rPr>
          <w:color w:val="000000" w:themeColor="text1"/>
          <w:sz w:val="24"/>
          <w:szCs w:val="24"/>
        </w:rPr>
        <w:t xml:space="preserve">); therefore, the PSD threshold for a major source is 250 tons per year of any regulated NSR pollutant, with fugitive emissions not included towards this total. </w:t>
      </w:r>
      <w:r w:rsidR="00FF0D94">
        <w:rPr>
          <w:color w:val="000000" w:themeColor="text1"/>
          <w:sz w:val="24"/>
          <w:szCs w:val="24"/>
        </w:rPr>
        <w:t xml:space="preserve"> </w:t>
      </w:r>
      <w:r w:rsidR="000F7CF3" w:rsidRPr="000F7CF3">
        <w:rPr>
          <w:color w:val="000000" w:themeColor="text1"/>
          <w:sz w:val="24"/>
          <w:szCs w:val="24"/>
        </w:rPr>
        <w:t xml:space="preserve">Since 398.01 of the 403.58 tpy of PM emissions are fugitive emissions, the PSD </w:t>
      </w:r>
      <w:r w:rsidR="00187994">
        <w:rPr>
          <w:color w:val="000000" w:themeColor="text1"/>
          <w:sz w:val="24"/>
          <w:szCs w:val="24"/>
        </w:rPr>
        <w:t xml:space="preserve">major source </w:t>
      </w:r>
      <w:r w:rsidR="000F7CF3" w:rsidRPr="000F7CF3">
        <w:rPr>
          <w:color w:val="000000" w:themeColor="text1"/>
          <w:sz w:val="24"/>
          <w:szCs w:val="24"/>
        </w:rPr>
        <w:t xml:space="preserve">threshold is not </w:t>
      </w:r>
      <w:r w:rsidR="00187994">
        <w:rPr>
          <w:color w:val="000000" w:themeColor="text1"/>
          <w:sz w:val="24"/>
          <w:szCs w:val="24"/>
        </w:rPr>
        <w:t>exceeded</w:t>
      </w:r>
      <w:r w:rsidR="000F7CF3" w:rsidRPr="000F7CF3">
        <w:rPr>
          <w:color w:val="000000" w:themeColor="text1"/>
          <w:sz w:val="24"/>
          <w:szCs w:val="24"/>
        </w:rPr>
        <w:t xml:space="preserve">. </w:t>
      </w:r>
      <w:r w:rsidR="004A3B4B" w:rsidRPr="000F7CF3">
        <w:rPr>
          <w:color w:val="000000" w:themeColor="text1"/>
          <w:sz w:val="24"/>
          <w:szCs w:val="24"/>
        </w:rPr>
        <w:t>NEML</w:t>
      </w:r>
      <w:r w:rsidRPr="000F7CF3">
        <w:rPr>
          <w:color w:val="000000" w:themeColor="text1"/>
          <w:sz w:val="24"/>
          <w:szCs w:val="24"/>
        </w:rPr>
        <w:t xml:space="preserve"> has the potential to emit less than 250 tons per year of each of the </w:t>
      </w:r>
      <w:r w:rsidR="000F7CF3" w:rsidRPr="000F7CF3">
        <w:rPr>
          <w:color w:val="000000" w:themeColor="text1"/>
          <w:sz w:val="24"/>
          <w:szCs w:val="24"/>
        </w:rPr>
        <w:t xml:space="preserve">other </w:t>
      </w:r>
      <w:r w:rsidRPr="000F7CF3">
        <w:rPr>
          <w:color w:val="000000" w:themeColor="text1"/>
          <w:sz w:val="24"/>
          <w:szCs w:val="24"/>
        </w:rPr>
        <w:t xml:space="preserve">regulated NSR pollutants; therefore, </w:t>
      </w:r>
      <w:r w:rsidR="000F7CF3" w:rsidRPr="000F7CF3">
        <w:rPr>
          <w:color w:val="000000" w:themeColor="text1"/>
          <w:sz w:val="24"/>
          <w:szCs w:val="24"/>
        </w:rPr>
        <w:t xml:space="preserve">NEML </w:t>
      </w:r>
      <w:r w:rsidRPr="000F7CF3">
        <w:rPr>
          <w:color w:val="000000" w:themeColor="text1"/>
          <w:sz w:val="24"/>
          <w:szCs w:val="24"/>
        </w:rPr>
        <w:t xml:space="preserve">is an existing minor source under the </w:t>
      </w:r>
      <w:smartTag w:uri="urn:schemas-microsoft-com:office:smarttags" w:element="stockticker">
        <w:r w:rsidRPr="000F7CF3">
          <w:rPr>
            <w:color w:val="000000" w:themeColor="text1"/>
            <w:sz w:val="24"/>
            <w:szCs w:val="24"/>
          </w:rPr>
          <w:t>PSD</w:t>
        </w:r>
      </w:smartTag>
      <w:r w:rsidRPr="000F7CF3">
        <w:rPr>
          <w:color w:val="000000" w:themeColor="text1"/>
          <w:sz w:val="24"/>
          <w:szCs w:val="24"/>
        </w:rPr>
        <w:t xml:space="preserve"> program.</w:t>
      </w:r>
    </w:p>
    <w:p w14:paraId="5D033A61" w14:textId="61C35754" w:rsidR="00555F8A" w:rsidRPr="00151D50" w:rsidRDefault="00555F8A" w:rsidP="00B90BBB">
      <w:pPr>
        <w:spacing w:before="240" w:after="120"/>
        <w:jc w:val="both"/>
        <w:rPr>
          <w:color w:val="000000" w:themeColor="text1"/>
          <w:sz w:val="24"/>
          <w:szCs w:val="24"/>
        </w:rPr>
      </w:pPr>
      <w:r>
        <w:rPr>
          <w:color w:val="000000" w:themeColor="text1"/>
          <w:sz w:val="24"/>
          <w:szCs w:val="24"/>
        </w:rPr>
        <w:t xml:space="preserve">With this renewal, NEML is addressing a future lateral expansion of the MSWLF, as </w:t>
      </w:r>
      <w:r w:rsidR="001B0DBC">
        <w:rPr>
          <w:color w:val="000000" w:themeColor="text1"/>
          <w:sz w:val="24"/>
          <w:szCs w:val="24"/>
        </w:rPr>
        <w:t xml:space="preserve">proposed in </w:t>
      </w:r>
      <w:r>
        <w:rPr>
          <w:color w:val="000000" w:themeColor="text1"/>
          <w:sz w:val="24"/>
          <w:szCs w:val="24"/>
        </w:rPr>
        <w:t xml:space="preserve"> </w:t>
      </w:r>
      <w:r w:rsidR="00011B14">
        <w:rPr>
          <w:color w:val="000000" w:themeColor="text1"/>
          <w:sz w:val="24"/>
          <w:szCs w:val="24"/>
        </w:rPr>
        <w:t>a</w:t>
      </w:r>
      <w:r w:rsidR="001B0DBC">
        <w:rPr>
          <w:color w:val="000000" w:themeColor="text1"/>
          <w:sz w:val="24"/>
          <w:szCs w:val="24"/>
        </w:rPr>
        <w:t xml:space="preserve"> modification to </w:t>
      </w:r>
      <w:r>
        <w:rPr>
          <w:color w:val="000000" w:themeColor="text1"/>
          <w:sz w:val="24"/>
          <w:szCs w:val="24"/>
        </w:rPr>
        <w:t>Solid Waste Management Permit No.</w:t>
      </w:r>
      <w:r w:rsidR="001B0DBC">
        <w:rPr>
          <w:color w:val="000000" w:themeColor="text1"/>
          <w:sz w:val="24"/>
          <w:szCs w:val="24"/>
        </w:rPr>
        <w:t xml:space="preserve"> SW0700010433.</w:t>
      </w:r>
      <w:r>
        <w:rPr>
          <w:color w:val="000000" w:themeColor="text1"/>
          <w:sz w:val="24"/>
          <w:szCs w:val="24"/>
        </w:rPr>
        <w:t xml:space="preserve"> The change in emissions was evaluated to determine if the expansion would constitute a major modification. However, the emissions increase is less than ¾ of the major modification thresholds </w:t>
      </w:r>
      <w:r w:rsidR="008176E4">
        <w:rPr>
          <w:color w:val="000000" w:themeColor="text1"/>
          <w:sz w:val="24"/>
          <w:szCs w:val="24"/>
        </w:rPr>
        <w:t xml:space="preserve">for each regulated NSR pollutant; </w:t>
      </w:r>
      <w:r>
        <w:rPr>
          <w:color w:val="000000" w:themeColor="text1"/>
          <w:sz w:val="24"/>
          <w:szCs w:val="24"/>
        </w:rPr>
        <w:t xml:space="preserve">therefore, </w:t>
      </w:r>
      <w:r w:rsidR="008176E4">
        <w:rPr>
          <w:color w:val="000000" w:themeColor="text1"/>
          <w:sz w:val="24"/>
          <w:szCs w:val="24"/>
        </w:rPr>
        <w:t xml:space="preserve">the expansion </w:t>
      </w:r>
      <w:r>
        <w:rPr>
          <w:color w:val="000000" w:themeColor="text1"/>
          <w:sz w:val="24"/>
          <w:szCs w:val="24"/>
        </w:rPr>
        <w:t xml:space="preserve">constitutes a de minimis NSR modification. De minimis NSR modifications are excluded from the State’s requirement to obtain a Permit to Construct </w:t>
      </w:r>
      <w:r w:rsidR="008176E4">
        <w:rPr>
          <w:color w:val="000000" w:themeColor="text1"/>
          <w:sz w:val="24"/>
          <w:szCs w:val="24"/>
        </w:rPr>
        <w:t>per</w:t>
      </w:r>
      <w:r>
        <w:rPr>
          <w:color w:val="000000" w:themeColor="text1"/>
          <w:sz w:val="24"/>
          <w:szCs w:val="24"/>
        </w:rPr>
        <w:t xml:space="preserve"> 1</w:t>
      </w:r>
      <w:r w:rsidR="008176E4">
        <w:rPr>
          <w:color w:val="000000" w:themeColor="text1"/>
          <w:sz w:val="24"/>
          <w:szCs w:val="24"/>
        </w:rPr>
        <w:t>1 Miss. Admin. Code Pt. 2, R. 2.13.F</w:t>
      </w:r>
      <w:r>
        <w:rPr>
          <w:color w:val="000000" w:themeColor="text1"/>
          <w:sz w:val="24"/>
          <w:szCs w:val="24"/>
        </w:rPr>
        <w:t>. NEML will also remain a minor source under the PSD program after the expansion, as shown in the Facility-Wide Potential-to-Emit Summary table above.</w:t>
      </w:r>
    </w:p>
    <w:p w14:paraId="5B17D0E6" w14:textId="77777777" w:rsidR="00BA3BCF" w:rsidRDefault="00BA3BCF" w:rsidP="00B90BBB">
      <w:pPr>
        <w:keepNext/>
        <w:spacing w:before="240" w:after="120"/>
        <w:jc w:val="both"/>
        <w:rPr>
          <w:sz w:val="24"/>
          <w:szCs w:val="24"/>
          <w:u w:val="single"/>
        </w:rPr>
      </w:pPr>
      <w:r>
        <w:rPr>
          <w:sz w:val="24"/>
          <w:szCs w:val="24"/>
          <w:u w:val="single"/>
        </w:rPr>
        <w:t>FACILITY MODIFICATIONS AND/OR PERMIT CHANGES</w:t>
      </w:r>
    </w:p>
    <w:p w14:paraId="5F606B08" w14:textId="7ECC6B4A" w:rsidR="00174A97" w:rsidRDefault="00174A97" w:rsidP="00B90BBB">
      <w:pPr>
        <w:spacing w:before="240" w:after="120"/>
        <w:jc w:val="both"/>
        <w:rPr>
          <w:color w:val="000000" w:themeColor="text1"/>
          <w:sz w:val="24"/>
          <w:szCs w:val="24"/>
        </w:rPr>
      </w:pPr>
      <w:r>
        <w:rPr>
          <w:color w:val="000000" w:themeColor="text1"/>
          <w:sz w:val="24"/>
          <w:szCs w:val="24"/>
        </w:rPr>
        <w:t>As noted above, a</w:t>
      </w:r>
      <w:r w:rsidR="00710902">
        <w:rPr>
          <w:color w:val="000000" w:themeColor="text1"/>
          <w:sz w:val="24"/>
          <w:szCs w:val="24"/>
        </w:rPr>
        <w:t xml:space="preserve"> </w:t>
      </w:r>
      <w:r>
        <w:rPr>
          <w:color w:val="000000" w:themeColor="text1"/>
          <w:sz w:val="24"/>
          <w:szCs w:val="24"/>
        </w:rPr>
        <w:t xml:space="preserve">lateral expansion of the landfill is being addressed with this renewal. The proposed expansion would allow an increase to the permitted landfill capacity from 11,240,000 cubic yards to 26,710,000 cubic yards (or </w:t>
      </w:r>
      <w:r w:rsidR="00585BF7">
        <w:rPr>
          <w:color w:val="000000" w:themeColor="text1"/>
          <w:sz w:val="24"/>
          <w:szCs w:val="24"/>
        </w:rPr>
        <w:t>~</w:t>
      </w:r>
      <w:r>
        <w:rPr>
          <w:color w:val="000000" w:themeColor="text1"/>
          <w:sz w:val="24"/>
          <w:szCs w:val="24"/>
        </w:rPr>
        <w:t xml:space="preserve">8.8 million tons to </w:t>
      </w:r>
      <w:r w:rsidR="00585BF7">
        <w:rPr>
          <w:color w:val="000000" w:themeColor="text1"/>
          <w:sz w:val="24"/>
          <w:szCs w:val="24"/>
        </w:rPr>
        <w:t>~</w:t>
      </w:r>
      <w:r>
        <w:rPr>
          <w:color w:val="000000" w:themeColor="text1"/>
          <w:sz w:val="24"/>
          <w:szCs w:val="24"/>
        </w:rPr>
        <w:t>20.57 million tons). The proposed expansion has been evaluated to determine the increase in potential emissions. The landfill will continue to be required to collect and control the landfill gas; therefore, emissions of VOC and HAP</w:t>
      </w:r>
      <w:r w:rsidR="001749DB">
        <w:rPr>
          <w:color w:val="000000" w:themeColor="text1"/>
          <w:sz w:val="24"/>
          <w:szCs w:val="24"/>
        </w:rPr>
        <w:t xml:space="preserve"> will increase some but will remain below the de minimis threshold for a Permit to Construct.</w:t>
      </w:r>
    </w:p>
    <w:p w14:paraId="3BB5F2A1" w14:textId="05629294" w:rsidR="00D32B5E" w:rsidRPr="009F2D6B" w:rsidRDefault="001749DB" w:rsidP="00B90BBB">
      <w:pPr>
        <w:spacing w:before="240" w:after="120"/>
        <w:jc w:val="both"/>
        <w:rPr>
          <w:color w:val="000000" w:themeColor="text1"/>
          <w:sz w:val="24"/>
          <w:szCs w:val="24"/>
        </w:rPr>
      </w:pPr>
      <w:r>
        <w:rPr>
          <w:color w:val="000000" w:themeColor="text1"/>
          <w:sz w:val="24"/>
          <w:szCs w:val="24"/>
        </w:rPr>
        <w:t>In the permit, t</w:t>
      </w:r>
      <w:r w:rsidR="00555F8A">
        <w:rPr>
          <w:color w:val="000000" w:themeColor="text1"/>
          <w:sz w:val="24"/>
          <w:szCs w:val="24"/>
        </w:rPr>
        <w:t xml:space="preserve">he requirements of 40 CFR 60 Subpart WWW have been replaced by the Federal Plan promulgated </w:t>
      </w:r>
      <w:r w:rsidR="00FB47F5">
        <w:rPr>
          <w:color w:val="000000" w:themeColor="text1"/>
          <w:sz w:val="24"/>
          <w:szCs w:val="24"/>
        </w:rPr>
        <w:t>by EPA on M</w:t>
      </w:r>
      <w:r w:rsidR="00FB386E">
        <w:rPr>
          <w:color w:val="000000" w:themeColor="text1"/>
          <w:sz w:val="24"/>
          <w:szCs w:val="24"/>
        </w:rPr>
        <w:t>ay 10</w:t>
      </w:r>
      <w:r w:rsidR="00FB47F5">
        <w:rPr>
          <w:color w:val="000000" w:themeColor="text1"/>
          <w:sz w:val="24"/>
          <w:szCs w:val="24"/>
        </w:rPr>
        <w:t xml:space="preserve">, 2021 and found </w:t>
      </w:r>
      <w:r w:rsidR="00555F8A">
        <w:rPr>
          <w:color w:val="000000" w:themeColor="text1"/>
          <w:sz w:val="24"/>
          <w:szCs w:val="24"/>
        </w:rPr>
        <w:t>in 40 CFR 62 Subpart OOO</w:t>
      </w:r>
      <w:r w:rsidR="00FB47F5">
        <w:rPr>
          <w:color w:val="000000" w:themeColor="text1"/>
          <w:sz w:val="24"/>
          <w:szCs w:val="24"/>
        </w:rPr>
        <w:t>. The Federal Plan</w:t>
      </w:r>
      <w:r w:rsidR="00555F8A">
        <w:rPr>
          <w:color w:val="000000" w:themeColor="text1"/>
          <w:sz w:val="24"/>
          <w:szCs w:val="24"/>
        </w:rPr>
        <w:t xml:space="preserve"> </w:t>
      </w:r>
      <w:r w:rsidR="008176E4">
        <w:rPr>
          <w:color w:val="000000" w:themeColor="text1"/>
          <w:sz w:val="24"/>
          <w:szCs w:val="24"/>
        </w:rPr>
        <w:t>addresses</w:t>
      </w:r>
      <w:r w:rsidR="00555F8A">
        <w:rPr>
          <w:color w:val="000000" w:themeColor="text1"/>
          <w:sz w:val="24"/>
          <w:szCs w:val="24"/>
        </w:rPr>
        <w:t xml:space="preserve"> the Emissions Guidelines </w:t>
      </w:r>
      <w:r w:rsidR="00FB47F5">
        <w:rPr>
          <w:color w:val="000000" w:themeColor="text1"/>
          <w:sz w:val="24"/>
          <w:szCs w:val="24"/>
        </w:rPr>
        <w:t>for MSWLFs in</w:t>
      </w:r>
      <w:r w:rsidR="00555F8A">
        <w:rPr>
          <w:color w:val="000000" w:themeColor="text1"/>
          <w:sz w:val="24"/>
          <w:szCs w:val="24"/>
        </w:rPr>
        <w:t xml:space="preserve"> 40 CFR 60 Subpart Cf. The Federal Plan is </w:t>
      </w:r>
      <w:r w:rsidR="00710902">
        <w:rPr>
          <w:color w:val="000000" w:themeColor="text1"/>
          <w:sz w:val="24"/>
          <w:szCs w:val="24"/>
        </w:rPr>
        <w:t>enforced</w:t>
      </w:r>
      <w:r w:rsidR="00555F8A">
        <w:rPr>
          <w:color w:val="000000" w:themeColor="text1"/>
          <w:sz w:val="24"/>
          <w:szCs w:val="24"/>
        </w:rPr>
        <w:t xml:space="preserve"> by EPA Region 4</w:t>
      </w:r>
      <w:r w:rsidR="008176E4">
        <w:rPr>
          <w:color w:val="000000" w:themeColor="text1"/>
          <w:sz w:val="24"/>
          <w:szCs w:val="24"/>
        </w:rPr>
        <w:t xml:space="preserve"> and not DEQ</w:t>
      </w:r>
      <w:r w:rsidR="00555F8A">
        <w:rPr>
          <w:color w:val="000000" w:themeColor="text1"/>
          <w:sz w:val="24"/>
          <w:szCs w:val="24"/>
        </w:rPr>
        <w:t>. Should a State Plan be</w:t>
      </w:r>
      <w:r w:rsidR="00FB47F5">
        <w:rPr>
          <w:color w:val="000000" w:themeColor="text1"/>
          <w:sz w:val="24"/>
          <w:szCs w:val="24"/>
        </w:rPr>
        <w:t xml:space="preserve"> approved by EPA, the State Plan will replace the Federal Plan and be enforced by DEQ.</w:t>
      </w:r>
      <w:r w:rsidR="00555F8A">
        <w:rPr>
          <w:color w:val="000000" w:themeColor="text1"/>
          <w:sz w:val="24"/>
          <w:szCs w:val="24"/>
        </w:rPr>
        <w:t xml:space="preserve"> </w:t>
      </w:r>
      <w:r w:rsidR="00FB47F5">
        <w:rPr>
          <w:color w:val="000000" w:themeColor="text1"/>
          <w:sz w:val="24"/>
          <w:szCs w:val="24"/>
        </w:rPr>
        <w:t>During the previous permit term, NEML exceeded the 50 Mg/yr threshold for Non-methane Organic Compounds (NMOC)</w:t>
      </w:r>
      <w:r w:rsidR="00EF3DBE">
        <w:rPr>
          <w:color w:val="000000" w:themeColor="text1"/>
          <w:sz w:val="24"/>
          <w:szCs w:val="24"/>
        </w:rPr>
        <w:t>, which required</w:t>
      </w:r>
      <w:r w:rsidR="00FB47F5">
        <w:rPr>
          <w:color w:val="000000" w:themeColor="text1"/>
          <w:sz w:val="24"/>
          <w:szCs w:val="24"/>
        </w:rPr>
        <w:t xml:space="preserve"> installation of a GCCS. </w:t>
      </w:r>
      <w:r w:rsidR="00D32B5E" w:rsidRPr="009F2D6B">
        <w:rPr>
          <w:color w:val="000000" w:themeColor="text1"/>
          <w:sz w:val="24"/>
          <w:szCs w:val="24"/>
        </w:rPr>
        <w:t xml:space="preserve">Applicability to </w:t>
      </w:r>
      <w:r w:rsidR="00187994">
        <w:rPr>
          <w:color w:val="000000" w:themeColor="text1"/>
          <w:sz w:val="24"/>
          <w:szCs w:val="24"/>
        </w:rPr>
        <w:t xml:space="preserve">the GCCS requirements under </w:t>
      </w:r>
      <w:r w:rsidR="00D32B5E">
        <w:rPr>
          <w:color w:val="000000" w:themeColor="text1"/>
          <w:sz w:val="24"/>
          <w:szCs w:val="24"/>
        </w:rPr>
        <w:t>40 CFR 6</w:t>
      </w:r>
      <w:r w:rsidR="00555F8A">
        <w:rPr>
          <w:color w:val="000000" w:themeColor="text1"/>
          <w:sz w:val="24"/>
          <w:szCs w:val="24"/>
        </w:rPr>
        <w:t>2</w:t>
      </w:r>
      <w:r w:rsidR="00D32B5E" w:rsidRPr="009F2D6B">
        <w:rPr>
          <w:color w:val="000000" w:themeColor="text1"/>
          <w:sz w:val="24"/>
          <w:szCs w:val="24"/>
        </w:rPr>
        <w:t xml:space="preserve"> Subpart </w:t>
      </w:r>
      <w:r w:rsidR="00555F8A">
        <w:rPr>
          <w:color w:val="000000" w:themeColor="text1"/>
          <w:sz w:val="24"/>
          <w:szCs w:val="24"/>
        </w:rPr>
        <w:t xml:space="preserve">OOO </w:t>
      </w:r>
      <w:r w:rsidR="00FB47F5">
        <w:rPr>
          <w:color w:val="000000" w:themeColor="text1"/>
          <w:sz w:val="24"/>
          <w:szCs w:val="24"/>
        </w:rPr>
        <w:t>a</w:t>
      </w:r>
      <w:r w:rsidR="00D32B5E" w:rsidRPr="009F2D6B">
        <w:rPr>
          <w:color w:val="000000" w:themeColor="text1"/>
          <w:sz w:val="24"/>
          <w:szCs w:val="24"/>
        </w:rPr>
        <w:t xml:space="preserve">nd </w:t>
      </w:r>
      <w:r w:rsidR="00D32B5E">
        <w:rPr>
          <w:color w:val="000000" w:themeColor="text1"/>
          <w:sz w:val="24"/>
          <w:szCs w:val="24"/>
        </w:rPr>
        <w:t xml:space="preserve">40 CFR 63 </w:t>
      </w:r>
      <w:r w:rsidR="00EF3DBE">
        <w:rPr>
          <w:color w:val="000000" w:themeColor="text1"/>
          <w:sz w:val="24"/>
          <w:szCs w:val="24"/>
        </w:rPr>
        <w:t>Subpart AAAA</w:t>
      </w:r>
      <w:r w:rsidR="00D32B5E" w:rsidRPr="009F2D6B">
        <w:rPr>
          <w:color w:val="000000" w:themeColor="text1"/>
          <w:sz w:val="24"/>
          <w:szCs w:val="24"/>
        </w:rPr>
        <w:t xml:space="preserve"> and </w:t>
      </w:r>
      <w:r w:rsidR="00D32B5E">
        <w:rPr>
          <w:color w:val="000000" w:themeColor="text1"/>
          <w:sz w:val="24"/>
          <w:szCs w:val="24"/>
        </w:rPr>
        <w:t xml:space="preserve">the </w:t>
      </w:r>
      <w:r w:rsidR="00D32B5E" w:rsidRPr="009F2D6B">
        <w:rPr>
          <w:color w:val="000000" w:themeColor="text1"/>
          <w:sz w:val="24"/>
          <w:szCs w:val="24"/>
        </w:rPr>
        <w:t>related emission standards, monitoring, recordkeeping</w:t>
      </w:r>
      <w:r w:rsidR="00187994">
        <w:rPr>
          <w:color w:val="000000" w:themeColor="text1"/>
          <w:sz w:val="24"/>
          <w:szCs w:val="24"/>
        </w:rPr>
        <w:t>, and reporting</w:t>
      </w:r>
      <w:r w:rsidR="00D32B5E" w:rsidRPr="009F2D6B">
        <w:rPr>
          <w:color w:val="000000" w:themeColor="text1"/>
          <w:sz w:val="24"/>
          <w:szCs w:val="24"/>
        </w:rPr>
        <w:t xml:space="preserve"> </w:t>
      </w:r>
      <w:r w:rsidR="00D32B5E">
        <w:rPr>
          <w:color w:val="000000" w:themeColor="text1"/>
          <w:sz w:val="24"/>
          <w:szCs w:val="24"/>
        </w:rPr>
        <w:t xml:space="preserve">requirements </w:t>
      </w:r>
      <w:r w:rsidR="00D32B5E" w:rsidRPr="009F2D6B">
        <w:rPr>
          <w:color w:val="000000" w:themeColor="text1"/>
          <w:sz w:val="24"/>
          <w:szCs w:val="24"/>
        </w:rPr>
        <w:t xml:space="preserve">have been </w:t>
      </w:r>
      <w:r w:rsidR="00187994">
        <w:rPr>
          <w:color w:val="000000" w:themeColor="text1"/>
          <w:sz w:val="24"/>
          <w:szCs w:val="24"/>
        </w:rPr>
        <w:t>addressed in this permit.</w:t>
      </w:r>
      <w:r w:rsidR="001841AD">
        <w:rPr>
          <w:color w:val="000000" w:themeColor="text1"/>
          <w:sz w:val="24"/>
          <w:szCs w:val="24"/>
        </w:rPr>
        <w:t xml:space="preserve"> A requirement to submit a request for a minor modification to incorporate the requirements of 40 CFR 60 Subpart XXX within 90 days of commencing construction of the lateral expansion has also been included in </w:t>
      </w:r>
      <w:r w:rsidR="00710902">
        <w:rPr>
          <w:color w:val="000000" w:themeColor="text1"/>
          <w:sz w:val="24"/>
          <w:szCs w:val="24"/>
        </w:rPr>
        <w:t xml:space="preserve">Section 4 of </w:t>
      </w:r>
      <w:r w:rsidR="001841AD">
        <w:rPr>
          <w:color w:val="000000" w:themeColor="text1"/>
          <w:sz w:val="24"/>
          <w:szCs w:val="24"/>
        </w:rPr>
        <w:t xml:space="preserve">the permit. The requirements of 40 CFR 60 Subpart XXX would replace those of the Federal Plan </w:t>
      </w:r>
      <w:r w:rsidR="00EF3DBE">
        <w:rPr>
          <w:color w:val="000000" w:themeColor="text1"/>
          <w:sz w:val="24"/>
          <w:szCs w:val="24"/>
        </w:rPr>
        <w:t xml:space="preserve">or State Plan </w:t>
      </w:r>
      <w:r w:rsidR="001841AD">
        <w:rPr>
          <w:color w:val="000000" w:themeColor="text1"/>
          <w:sz w:val="24"/>
          <w:szCs w:val="24"/>
        </w:rPr>
        <w:t>and are essential</w:t>
      </w:r>
      <w:r w:rsidR="002F08BE">
        <w:rPr>
          <w:color w:val="000000" w:themeColor="text1"/>
          <w:sz w:val="24"/>
          <w:szCs w:val="24"/>
        </w:rPr>
        <w:t>ly</w:t>
      </w:r>
      <w:r w:rsidR="001841AD">
        <w:rPr>
          <w:color w:val="000000" w:themeColor="text1"/>
          <w:sz w:val="24"/>
          <w:szCs w:val="24"/>
        </w:rPr>
        <w:t xml:space="preserve"> equivalent requirements.</w:t>
      </w:r>
    </w:p>
    <w:p w14:paraId="35A83907" w14:textId="77777777" w:rsidR="00531513" w:rsidRDefault="00AB6090" w:rsidP="001841AD">
      <w:pPr>
        <w:keepNext/>
        <w:spacing w:before="240" w:after="120"/>
        <w:jc w:val="both"/>
        <w:rPr>
          <w:sz w:val="24"/>
          <w:szCs w:val="24"/>
        </w:rPr>
      </w:pPr>
      <w:r>
        <w:rPr>
          <w:sz w:val="24"/>
          <w:szCs w:val="24"/>
          <w:u w:val="single"/>
        </w:rPr>
        <w:lastRenderedPageBreak/>
        <w:t>COMPLIANCE ASSURANCE MONITORING (</w:t>
      </w:r>
      <w:r w:rsidR="00531513">
        <w:rPr>
          <w:sz w:val="24"/>
          <w:szCs w:val="24"/>
          <w:u w:val="single"/>
        </w:rPr>
        <w:t>CAM</w:t>
      </w:r>
      <w:r>
        <w:rPr>
          <w:sz w:val="24"/>
          <w:szCs w:val="24"/>
          <w:u w:val="single"/>
        </w:rPr>
        <w:t>)</w:t>
      </w:r>
      <w:r w:rsidR="00531513">
        <w:rPr>
          <w:sz w:val="24"/>
          <w:szCs w:val="24"/>
          <w:u w:val="single"/>
        </w:rPr>
        <w:t xml:space="preserve"> APPLICABILITY</w:t>
      </w:r>
    </w:p>
    <w:p w14:paraId="11A09936" w14:textId="62A27612" w:rsidR="00AD7559" w:rsidRPr="00AD7559" w:rsidRDefault="00AD7559" w:rsidP="001841AD">
      <w:pPr>
        <w:keepNext/>
        <w:spacing w:before="240" w:after="120"/>
        <w:jc w:val="both"/>
        <w:rPr>
          <w:sz w:val="24"/>
          <w:szCs w:val="24"/>
        </w:rPr>
      </w:pPr>
      <w:r w:rsidRPr="00AD7559">
        <w:rPr>
          <w:sz w:val="24"/>
          <w:szCs w:val="24"/>
        </w:rPr>
        <w:t xml:space="preserve">40 CFR Part 64 specifies the requirements for </w:t>
      </w:r>
      <w:r w:rsidR="00AB6090">
        <w:rPr>
          <w:sz w:val="24"/>
          <w:szCs w:val="24"/>
        </w:rPr>
        <w:t>CAM</w:t>
      </w:r>
      <w:r w:rsidRPr="00AD7559">
        <w:rPr>
          <w:sz w:val="24"/>
          <w:szCs w:val="24"/>
        </w:rPr>
        <w:t xml:space="preserve">. The general applicability of this rule can be found in 40 CFR 64.2 and requires a Title V source to comply with the CAM requirements if </w:t>
      </w:r>
      <w:r>
        <w:rPr>
          <w:sz w:val="24"/>
          <w:szCs w:val="24"/>
        </w:rPr>
        <w:t>all three of the</w:t>
      </w:r>
      <w:r w:rsidRPr="00AD7559">
        <w:rPr>
          <w:sz w:val="24"/>
          <w:szCs w:val="24"/>
        </w:rPr>
        <w:t xml:space="preserve"> following criteria are met</w:t>
      </w:r>
      <w:r w:rsidR="006F0510">
        <w:rPr>
          <w:sz w:val="24"/>
          <w:szCs w:val="24"/>
        </w:rPr>
        <w:t xml:space="preserve"> for a pollutant-specific emission unit (PSEU)</w:t>
      </w:r>
      <w:r w:rsidRPr="00AD7559">
        <w:rPr>
          <w:sz w:val="24"/>
          <w:szCs w:val="24"/>
        </w:rPr>
        <w:t>:</w:t>
      </w:r>
    </w:p>
    <w:p w14:paraId="19C9E7FE" w14:textId="77777777" w:rsidR="00AD7559" w:rsidRPr="00AD7559" w:rsidRDefault="00AD7559" w:rsidP="00B90BBB">
      <w:pPr>
        <w:numPr>
          <w:ilvl w:val="0"/>
          <w:numId w:val="2"/>
        </w:numPr>
        <w:spacing w:before="240" w:after="120"/>
        <w:ind w:left="720" w:hanging="360"/>
        <w:jc w:val="both"/>
        <w:rPr>
          <w:sz w:val="24"/>
          <w:szCs w:val="24"/>
        </w:rPr>
      </w:pPr>
      <w:r w:rsidRPr="00AD7559">
        <w:rPr>
          <w:sz w:val="24"/>
          <w:szCs w:val="24"/>
        </w:rPr>
        <w:t>The unit is subject to an emission limitation or standard for a regulated air pollutant other than exem</w:t>
      </w:r>
      <w:r>
        <w:rPr>
          <w:sz w:val="24"/>
          <w:szCs w:val="24"/>
        </w:rPr>
        <w:t>ptions under 40 CFR 64.2(b)(1);</w:t>
      </w:r>
    </w:p>
    <w:p w14:paraId="71D5BEA2" w14:textId="77777777" w:rsidR="00AD7559" w:rsidRPr="00AD7559" w:rsidRDefault="00AD7559" w:rsidP="00B90BBB">
      <w:pPr>
        <w:numPr>
          <w:ilvl w:val="0"/>
          <w:numId w:val="2"/>
        </w:numPr>
        <w:spacing w:before="240" w:after="120"/>
        <w:ind w:left="720" w:hanging="360"/>
        <w:jc w:val="both"/>
        <w:rPr>
          <w:sz w:val="24"/>
          <w:szCs w:val="24"/>
        </w:rPr>
      </w:pPr>
      <w:r w:rsidRPr="00AD7559">
        <w:rPr>
          <w:sz w:val="24"/>
          <w:szCs w:val="24"/>
        </w:rPr>
        <w:t xml:space="preserve">The unit uses a control device to </w:t>
      </w:r>
      <w:r>
        <w:rPr>
          <w:sz w:val="24"/>
          <w:szCs w:val="24"/>
        </w:rPr>
        <w:t>comply with</w:t>
      </w:r>
      <w:r w:rsidRPr="00AD7559">
        <w:rPr>
          <w:sz w:val="24"/>
          <w:szCs w:val="24"/>
        </w:rPr>
        <w:t xml:space="preserve"> the standard</w:t>
      </w:r>
      <w:r>
        <w:rPr>
          <w:sz w:val="24"/>
          <w:szCs w:val="24"/>
        </w:rPr>
        <w:t>;</w:t>
      </w:r>
      <w:r w:rsidRPr="00AD7559">
        <w:rPr>
          <w:sz w:val="24"/>
          <w:szCs w:val="24"/>
        </w:rPr>
        <w:t xml:space="preserve"> and</w:t>
      </w:r>
    </w:p>
    <w:p w14:paraId="2FFF3202" w14:textId="77777777" w:rsidR="00AD7559" w:rsidRPr="00AD7559" w:rsidRDefault="00AD7559" w:rsidP="00B90BBB">
      <w:pPr>
        <w:numPr>
          <w:ilvl w:val="0"/>
          <w:numId w:val="2"/>
        </w:numPr>
        <w:spacing w:before="240" w:after="120"/>
        <w:ind w:left="720" w:hanging="360"/>
        <w:jc w:val="both"/>
        <w:rPr>
          <w:sz w:val="24"/>
          <w:szCs w:val="24"/>
        </w:rPr>
      </w:pPr>
      <w:r w:rsidRPr="00AD7559">
        <w:rPr>
          <w:sz w:val="24"/>
          <w:szCs w:val="24"/>
        </w:rPr>
        <w:t xml:space="preserve">The unit has pre-control emissions exceeding </w:t>
      </w:r>
      <w:r w:rsidR="00C72133">
        <w:rPr>
          <w:sz w:val="24"/>
          <w:szCs w:val="24"/>
        </w:rPr>
        <w:t>Title V major source threshold</w:t>
      </w:r>
      <w:r w:rsidRPr="00AD7559">
        <w:rPr>
          <w:sz w:val="24"/>
          <w:szCs w:val="24"/>
        </w:rPr>
        <w:t>.</w:t>
      </w:r>
    </w:p>
    <w:p w14:paraId="4357D014" w14:textId="6F95513A" w:rsidR="00D32B5E" w:rsidRPr="00151D50" w:rsidRDefault="00D32B5E" w:rsidP="00B90BBB">
      <w:pPr>
        <w:spacing w:before="240" w:after="120"/>
        <w:jc w:val="both"/>
        <w:rPr>
          <w:color w:val="000000" w:themeColor="text1"/>
          <w:sz w:val="24"/>
          <w:szCs w:val="24"/>
        </w:rPr>
      </w:pPr>
      <w:r w:rsidRPr="00151D50">
        <w:rPr>
          <w:color w:val="000000" w:themeColor="text1"/>
          <w:sz w:val="24"/>
          <w:szCs w:val="24"/>
        </w:rPr>
        <w:t xml:space="preserve">The only control device used at the landfill </w:t>
      </w:r>
      <w:r>
        <w:rPr>
          <w:color w:val="000000" w:themeColor="text1"/>
          <w:sz w:val="24"/>
          <w:szCs w:val="24"/>
        </w:rPr>
        <w:t xml:space="preserve">is </w:t>
      </w:r>
      <w:r w:rsidRPr="00151D50">
        <w:rPr>
          <w:color w:val="000000" w:themeColor="text1"/>
          <w:sz w:val="24"/>
          <w:szCs w:val="24"/>
        </w:rPr>
        <w:t xml:space="preserve">the </w:t>
      </w:r>
      <w:r>
        <w:rPr>
          <w:color w:val="000000" w:themeColor="text1"/>
          <w:sz w:val="24"/>
          <w:szCs w:val="24"/>
        </w:rPr>
        <w:t xml:space="preserve">candlestick </w:t>
      </w:r>
      <w:r w:rsidRPr="00151D50">
        <w:rPr>
          <w:color w:val="000000" w:themeColor="text1"/>
          <w:sz w:val="24"/>
          <w:szCs w:val="24"/>
        </w:rPr>
        <w:t>flare, which control</w:t>
      </w:r>
      <w:r>
        <w:rPr>
          <w:color w:val="000000" w:themeColor="text1"/>
          <w:sz w:val="24"/>
          <w:szCs w:val="24"/>
        </w:rPr>
        <w:t>s</w:t>
      </w:r>
      <w:r w:rsidRPr="00151D50">
        <w:rPr>
          <w:color w:val="000000" w:themeColor="text1"/>
          <w:sz w:val="24"/>
          <w:szCs w:val="24"/>
        </w:rPr>
        <w:t xml:space="preserve"> VOC, HAP, and H</w:t>
      </w:r>
      <w:r w:rsidRPr="00151D50">
        <w:rPr>
          <w:color w:val="000000" w:themeColor="text1"/>
          <w:sz w:val="24"/>
          <w:szCs w:val="24"/>
          <w:vertAlign w:val="subscript"/>
        </w:rPr>
        <w:t>2</w:t>
      </w:r>
      <w:r w:rsidRPr="00151D50">
        <w:rPr>
          <w:color w:val="000000" w:themeColor="text1"/>
          <w:sz w:val="24"/>
          <w:szCs w:val="24"/>
        </w:rPr>
        <w:t xml:space="preserve">S emissions. However, the landfill does not have potential pre-control device emissions over the Title V major source threshold for any of these pollutants. Therefore, </w:t>
      </w:r>
      <w:r>
        <w:rPr>
          <w:color w:val="000000" w:themeColor="text1"/>
          <w:sz w:val="24"/>
          <w:szCs w:val="24"/>
        </w:rPr>
        <w:t xml:space="preserve">the CAM provisions </w:t>
      </w:r>
      <w:r w:rsidRPr="00187994">
        <w:rPr>
          <w:b/>
          <w:color w:val="000000" w:themeColor="text1"/>
          <w:sz w:val="24"/>
          <w:szCs w:val="24"/>
          <w:u w:val="single"/>
        </w:rPr>
        <w:t xml:space="preserve">are </w:t>
      </w:r>
      <w:r w:rsidRPr="00187994">
        <w:rPr>
          <w:b/>
          <w:bCs/>
          <w:color w:val="000000" w:themeColor="text1"/>
          <w:sz w:val="24"/>
          <w:szCs w:val="24"/>
          <w:u w:val="single"/>
        </w:rPr>
        <w:t>not</w:t>
      </w:r>
      <w:r w:rsidRPr="00151D50">
        <w:rPr>
          <w:color w:val="000000" w:themeColor="text1"/>
          <w:sz w:val="24"/>
          <w:szCs w:val="24"/>
        </w:rPr>
        <w:t xml:space="preserve"> appl</w:t>
      </w:r>
      <w:r>
        <w:rPr>
          <w:color w:val="000000" w:themeColor="text1"/>
          <w:sz w:val="24"/>
          <w:szCs w:val="24"/>
        </w:rPr>
        <w:t>icable</w:t>
      </w:r>
      <w:r w:rsidRPr="00151D50">
        <w:rPr>
          <w:color w:val="000000" w:themeColor="text1"/>
          <w:sz w:val="24"/>
          <w:szCs w:val="24"/>
        </w:rPr>
        <w:t>.</w:t>
      </w:r>
      <w:r w:rsidR="00537D9E">
        <w:rPr>
          <w:color w:val="000000" w:themeColor="text1"/>
          <w:sz w:val="24"/>
          <w:szCs w:val="24"/>
        </w:rPr>
        <w:t xml:space="preserve"> Also, there are currently no emission limits or standards on VOC and HAP emissions.</w:t>
      </w:r>
    </w:p>
    <w:p w14:paraId="2E518511" w14:textId="77777777" w:rsidR="00531513" w:rsidRDefault="00AE4F70" w:rsidP="00B90BBB">
      <w:pPr>
        <w:spacing w:before="240" w:after="120"/>
        <w:jc w:val="both"/>
        <w:rPr>
          <w:sz w:val="24"/>
          <w:szCs w:val="24"/>
        </w:rPr>
      </w:pPr>
      <w:r>
        <w:rPr>
          <w:sz w:val="24"/>
          <w:szCs w:val="24"/>
          <w:u w:val="single"/>
        </w:rPr>
        <w:t xml:space="preserve">NATIONAL EMISSION STANDARDS FOR HAZARDOUS AIR POLLUTANTS (NESHAP) </w:t>
      </w:r>
      <w:r w:rsidR="00531513">
        <w:rPr>
          <w:sz w:val="24"/>
          <w:szCs w:val="24"/>
          <w:u w:val="single"/>
        </w:rPr>
        <w:t>APPLICABILITY</w:t>
      </w:r>
    </w:p>
    <w:p w14:paraId="3C8AB7C4" w14:textId="2C1B41C7" w:rsidR="00432C72" w:rsidRDefault="00EF3DBE" w:rsidP="001749DB">
      <w:pPr>
        <w:keepNext/>
        <w:spacing w:before="240"/>
        <w:jc w:val="both"/>
        <w:rPr>
          <w:color w:val="000000" w:themeColor="text1"/>
          <w:sz w:val="24"/>
          <w:szCs w:val="24"/>
        </w:rPr>
      </w:pPr>
      <w:bookmarkStart w:id="1" w:name="_Hlk48633328"/>
      <w:r>
        <w:rPr>
          <w:b/>
          <w:i/>
          <w:sz w:val="24"/>
          <w:szCs w:val="24"/>
        </w:rPr>
        <w:t>40 CFR 61</w:t>
      </w:r>
      <w:r w:rsidR="00D32B5E" w:rsidRPr="00E5215C">
        <w:rPr>
          <w:b/>
          <w:i/>
          <w:sz w:val="24"/>
          <w:szCs w:val="24"/>
        </w:rPr>
        <w:t xml:space="preserve"> Subpart M</w:t>
      </w:r>
      <w:r w:rsidR="00187994">
        <w:rPr>
          <w:b/>
          <w:i/>
          <w:sz w:val="24"/>
          <w:szCs w:val="24"/>
        </w:rPr>
        <w:t xml:space="preserve"> –</w:t>
      </w:r>
      <w:r w:rsidR="00D32B5E">
        <w:rPr>
          <w:b/>
          <w:i/>
          <w:sz w:val="24"/>
          <w:szCs w:val="24"/>
        </w:rPr>
        <w:t xml:space="preserve"> </w:t>
      </w:r>
      <w:r w:rsidR="00D32B5E" w:rsidRPr="009A0627">
        <w:rPr>
          <w:b/>
          <w:bCs/>
          <w:i/>
          <w:color w:val="000000" w:themeColor="text1"/>
          <w:sz w:val="24"/>
          <w:szCs w:val="24"/>
        </w:rPr>
        <w:t>NESHAP: National Emission Standards for Asbestos</w:t>
      </w:r>
      <w:r w:rsidR="00D32B5E" w:rsidRPr="00B07062">
        <w:rPr>
          <w:color w:val="000000" w:themeColor="text1"/>
          <w:sz w:val="24"/>
          <w:szCs w:val="24"/>
        </w:rPr>
        <w:t xml:space="preserve"> </w:t>
      </w:r>
    </w:p>
    <w:p w14:paraId="086ABC43" w14:textId="0B881026" w:rsidR="00D32B5E" w:rsidRPr="00B07062" w:rsidRDefault="00D32B5E" w:rsidP="001749DB">
      <w:pPr>
        <w:spacing w:before="120" w:after="120"/>
        <w:jc w:val="both"/>
        <w:rPr>
          <w:color w:val="000000" w:themeColor="text1"/>
          <w:sz w:val="24"/>
          <w:szCs w:val="24"/>
        </w:rPr>
      </w:pPr>
      <w:r>
        <w:rPr>
          <w:color w:val="000000" w:themeColor="text1"/>
          <w:sz w:val="24"/>
          <w:szCs w:val="24"/>
        </w:rPr>
        <w:t>The provisions of Subpart M are</w:t>
      </w:r>
      <w:r w:rsidRPr="00B07062">
        <w:rPr>
          <w:color w:val="000000" w:themeColor="text1"/>
          <w:sz w:val="24"/>
          <w:szCs w:val="24"/>
        </w:rPr>
        <w:t xml:space="preserve"> applicable to active waste disposal sites that receive asbestos-containing materials for disposal</w:t>
      </w:r>
      <w:r>
        <w:rPr>
          <w:color w:val="000000" w:themeColor="text1"/>
          <w:sz w:val="24"/>
          <w:szCs w:val="24"/>
        </w:rPr>
        <w:t xml:space="preserve"> from sources covered under 40 CFR 61.149, 61.150, or 61.155</w:t>
      </w:r>
      <w:r w:rsidRPr="00B07062">
        <w:rPr>
          <w:color w:val="000000" w:themeColor="text1"/>
          <w:sz w:val="24"/>
          <w:szCs w:val="24"/>
        </w:rPr>
        <w:t xml:space="preserve">. </w:t>
      </w:r>
      <w:r w:rsidR="00FF0D94">
        <w:rPr>
          <w:color w:val="000000" w:themeColor="text1"/>
          <w:sz w:val="24"/>
          <w:szCs w:val="24"/>
        </w:rPr>
        <w:t xml:space="preserve"> </w:t>
      </w:r>
      <w:r w:rsidRPr="00B07062">
        <w:rPr>
          <w:color w:val="000000" w:themeColor="text1"/>
          <w:sz w:val="24"/>
          <w:szCs w:val="24"/>
        </w:rPr>
        <w:t xml:space="preserve">The </w:t>
      </w:r>
      <w:r>
        <w:rPr>
          <w:color w:val="000000" w:themeColor="text1"/>
          <w:sz w:val="24"/>
          <w:szCs w:val="24"/>
        </w:rPr>
        <w:t xml:space="preserve">facility has a Solid Waste </w:t>
      </w:r>
      <w:r w:rsidR="000D03A7">
        <w:rPr>
          <w:color w:val="000000" w:themeColor="text1"/>
          <w:sz w:val="24"/>
          <w:szCs w:val="24"/>
        </w:rPr>
        <w:t>Management Permit (SW0700010433</w:t>
      </w:r>
      <w:r>
        <w:rPr>
          <w:color w:val="000000" w:themeColor="text1"/>
          <w:sz w:val="24"/>
          <w:szCs w:val="24"/>
        </w:rPr>
        <w:t>) an</w:t>
      </w:r>
      <w:r w:rsidR="00EF3DBE">
        <w:rPr>
          <w:color w:val="000000" w:themeColor="text1"/>
          <w:sz w:val="24"/>
          <w:szCs w:val="24"/>
        </w:rPr>
        <w:t>d an operating plan that permit</w:t>
      </w:r>
      <w:r>
        <w:rPr>
          <w:color w:val="000000" w:themeColor="text1"/>
          <w:sz w:val="24"/>
          <w:szCs w:val="24"/>
        </w:rPr>
        <w:t xml:space="preserve"> the facility to accept such wastes; therefore, the facility </w:t>
      </w:r>
      <w:r w:rsidRPr="00187994">
        <w:rPr>
          <w:b/>
          <w:color w:val="000000" w:themeColor="text1"/>
          <w:sz w:val="24"/>
          <w:szCs w:val="24"/>
          <w:u w:val="single"/>
        </w:rPr>
        <w:t>is</w:t>
      </w:r>
      <w:r>
        <w:rPr>
          <w:color w:val="000000" w:themeColor="text1"/>
          <w:sz w:val="24"/>
          <w:szCs w:val="24"/>
        </w:rPr>
        <w:t xml:space="preserve"> subject to the applicable requirements of Subpart M, which have been included in the proposed permit.</w:t>
      </w:r>
    </w:p>
    <w:p w14:paraId="2F3EFA6D" w14:textId="123C973A" w:rsidR="00432C72" w:rsidRDefault="00D32B5E" w:rsidP="00432C72">
      <w:pPr>
        <w:keepNext/>
        <w:spacing w:before="240" w:after="120"/>
        <w:jc w:val="both"/>
        <w:rPr>
          <w:color w:val="000000" w:themeColor="text1"/>
          <w:sz w:val="24"/>
          <w:szCs w:val="24"/>
        </w:rPr>
      </w:pPr>
      <w:r w:rsidRPr="005F5E6C">
        <w:rPr>
          <w:b/>
          <w:i/>
          <w:sz w:val="24"/>
          <w:szCs w:val="24"/>
        </w:rPr>
        <w:t>40 CFR 63 Subpart AAAA</w:t>
      </w:r>
      <w:r w:rsidR="00187994">
        <w:rPr>
          <w:b/>
          <w:i/>
          <w:sz w:val="24"/>
          <w:szCs w:val="24"/>
        </w:rPr>
        <w:t xml:space="preserve"> – </w:t>
      </w:r>
      <w:r w:rsidRPr="00EA021B">
        <w:rPr>
          <w:b/>
          <w:bCs/>
          <w:i/>
          <w:color w:val="000000" w:themeColor="text1"/>
          <w:sz w:val="24"/>
          <w:szCs w:val="24"/>
        </w:rPr>
        <w:t>NESHAP</w:t>
      </w:r>
      <w:r>
        <w:rPr>
          <w:b/>
          <w:bCs/>
          <w:i/>
          <w:color w:val="000000" w:themeColor="text1"/>
          <w:sz w:val="24"/>
          <w:szCs w:val="24"/>
        </w:rPr>
        <w:t xml:space="preserve"> for</w:t>
      </w:r>
      <w:r w:rsidRPr="00EA021B">
        <w:rPr>
          <w:b/>
          <w:bCs/>
          <w:i/>
          <w:color w:val="000000" w:themeColor="text1"/>
          <w:sz w:val="24"/>
          <w:szCs w:val="24"/>
        </w:rPr>
        <w:t xml:space="preserve"> Municipal Solid Waste Landfills</w:t>
      </w:r>
      <w:r w:rsidR="00432C72">
        <w:rPr>
          <w:color w:val="000000" w:themeColor="text1"/>
          <w:sz w:val="24"/>
          <w:szCs w:val="24"/>
        </w:rPr>
        <w:t xml:space="preserve"> </w:t>
      </w:r>
    </w:p>
    <w:p w14:paraId="01F9275D" w14:textId="292944BE" w:rsidR="00D32B5E" w:rsidRDefault="00D32B5E" w:rsidP="001749DB">
      <w:pPr>
        <w:keepNext/>
        <w:spacing w:before="120" w:after="120"/>
        <w:jc w:val="both"/>
        <w:rPr>
          <w:color w:val="000000" w:themeColor="text1"/>
          <w:sz w:val="24"/>
          <w:szCs w:val="24"/>
        </w:rPr>
      </w:pPr>
      <w:r>
        <w:rPr>
          <w:color w:val="000000" w:themeColor="text1"/>
          <w:sz w:val="24"/>
          <w:szCs w:val="24"/>
        </w:rPr>
        <w:t>The provisions of Subpart AAAA are</w:t>
      </w:r>
      <w:r w:rsidRPr="00B07062">
        <w:rPr>
          <w:color w:val="000000" w:themeColor="text1"/>
          <w:sz w:val="24"/>
          <w:szCs w:val="24"/>
        </w:rPr>
        <w:t xml:space="preserve"> applicable to </w:t>
      </w:r>
      <w:r>
        <w:rPr>
          <w:color w:val="000000" w:themeColor="text1"/>
          <w:sz w:val="24"/>
          <w:szCs w:val="24"/>
        </w:rPr>
        <w:t>a municipal solid waste (MSW) landfill that has accepted waste since November 8, 1987, or has additional capacity for waste deposition and meets any one of the three criteria below:</w:t>
      </w:r>
    </w:p>
    <w:p w14:paraId="4E67DCE0" w14:textId="77777777" w:rsidR="00D32B5E" w:rsidRDefault="00D32B5E" w:rsidP="00B90BBB">
      <w:pPr>
        <w:numPr>
          <w:ilvl w:val="0"/>
          <w:numId w:val="3"/>
        </w:numPr>
        <w:spacing w:before="240" w:after="120"/>
        <w:ind w:left="360"/>
        <w:jc w:val="both"/>
        <w:rPr>
          <w:color w:val="000000" w:themeColor="text1"/>
          <w:sz w:val="24"/>
          <w:szCs w:val="24"/>
        </w:rPr>
      </w:pPr>
      <w:r>
        <w:rPr>
          <w:color w:val="000000" w:themeColor="text1"/>
          <w:sz w:val="24"/>
          <w:szCs w:val="24"/>
        </w:rPr>
        <w:t>The MSW landfill is a major source of HAP as defined in 40 CFR 63.2.</w:t>
      </w:r>
    </w:p>
    <w:p w14:paraId="01914FCC" w14:textId="77777777" w:rsidR="00D32B5E" w:rsidRDefault="00D32B5E" w:rsidP="00B90BBB">
      <w:pPr>
        <w:numPr>
          <w:ilvl w:val="0"/>
          <w:numId w:val="3"/>
        </w:numPr>
        <w:spacing w:before="240" w:after="120"/>
        <w:ind w:left="360"/>
        <w:jc w:val="both"/>
        <w:rPr>
          <w:color w:val="000000" w:themeColor="text1"/>
          <w:sz w:val="24"/>
          <w:szCs w:val="24"/>
        </w:rPr>
      </w:pPr>
      <w:r>
        <w:rPr>
          <w:color w:val="000000" w:themeColor="text1"/>
          <w:sz w:val="24"/>
          <w:szCs w:val="24"/>
        </w:rPr>
        <w:t>The MSW landfill is collocated with a major source as defined in 40 CFR 63.2.</w:t>
      </w:r>
    </w:p>
    <w:p w14:paraId="3EAEE973" w14:textId="77777777" w:rsidR="00D32B5E" w:rsidRDefault="00D32B5E" w:rsidP="00B90BBB">
      <w:pPr>
        <w:numPr>
          <w:ilvl w:val="0"/>
          <w:numId w:val="3"/>
        </w:numPr>
        <w:spacing w:before="240" w:after="120"/>
        <w:ind w:left="360"/>
        <w:jc w:val="both"/>
        <w:rPr>
          <w:color w:val="000000" w:themeColor="text1"/>
          <w:sz w:val="24"/>
          <w:szCs w:val="24"/>
        </w:rPr>
      </w:pPr>
      <w:r>
        <w:rPr>
          <w:color w:val="000000" w:themeColor="text1"/>
          <w:sz w:val="24"/>
          <w:szCs w:val="24"/>
        </w:rPr>
        <w:t>The MSW landfill is an area source that has a design capacity equal to or greater than 2.5 Mg and 2.5 million cubic meters and has estimated uncontrolled emissions equal to or greater than 50 Mg/yr NMOC as calculated according to either 40 CFR 60.754(a) or 40 CFR 60.764(a) of the Standards of Performance for MSW Landfills that applies to the facility.</w:t>
      </w:r>
    </w:p>
    <w:p w14:paraId="573EBE4A" w14:textId="5F7192B0" w:rsidR="00D32B5E" w:rsidRDefault="005D48AD" w:rsidP="00B90BBB">
      <w:pPr>
        <w:spacing w:before="240" w:after="120"/>
        <w:jc w:val="both"/>
        <w:rPr>
          <w:color w:val="000000" w:themeColor="text1"/>
          <w:sz w:val="24"/>
          <w:szCs w:val="24"/>
        </w:rPr>
      </w:pPr>
      <w:r>
        <w:rPr>
          <w:color w:val="000000" w:themeColor="text1"/>
          <w:sz w:val="24"/>
          <w:szCs w:val="24"/>
        </w:rPr>
        <w:t>Since the</w:t>
      </w:r>
      <w:r w:rsidR="00D32B5E" w:rsidRPr="00B07062">
        <w:rPr>
          <w:color w:val="000000" w:themeColor="text1"/>
          <w:sz w:val="24"/>
          <w:szCs w:val="24"/>
        </w:rPr>
        <w:t xml:space="preserve"> facility </w:t>
      </w:r>
      <w:r>
        <w:rPr>
          <w:color w:val="000000" w:themeColor="text1"/>
          <w:sz w:val="24"/>
          <w:szCs w:val="24"/>
        </w:rPr>
        <w:t xml:space="preserve">has exceeded the 50 Mg/yr NMOC, it </w:t>
      </w:r>
      <w:r w:rsidRPr="005D48AD">
        <w:rPr>
          <w:b/>
          <w:color w:val="000000" w:themeColor="text1"/>
          <w:sz w:val="24"/>
          <w:szCs w:val="24"/>
          <w:u w:val="single"/>
        </w:rPr>
        <w:t>is</w:t>
      </w:r>
      <w:r>
        <w:rPr>
          <w:color w:val="000000" w:themeColor="text1"/>
          <w:sz w:val="24"/>
          <w:szCs w:val="24"/>
        </w:rPr>
        <w:t xml:space="preserve"> subject to Subpart AAAA. Subpart AAAA was recently revised (March 26, 2020) to better align with the requirements for landfills under NSPS Subpart XXX and the Emission Guidelines of 40 CFR 60, Subpart Cf. These revisions no longer allow a MSWLF to comply with Subpart AAAA by complying with NSPS Subpart </w:t>
      </w:r>
      <w:r>
        <w:rPr>
          <w:color w:val="000000" w:themeColor="text1"/>
          <w:sz w:val="24"/>
          <w:szCs w:val="24"/>
        </w:rPr>
        <w:lastRenderedPageBreak/>
        <w:t>WWW</w:t>
      </w:r>
      <w:r w:rsidR="004636B8">
        <w:rPr>
          <w:color w:val="000000" w:themeColor="text1"/>
          <w:sz w:val="24"/>
          <w:szCs w:val="24"/>
        </w:rPr>
        <w:t xml:space="preserve"> (or any other standards for that matter)</w:t>
      </w:r>
      <w:r>
        <w:rPr>
          <w:color w:val="000000" w:themeColor="text1"/>
          <w:sz w:val="24"/>
          <w:szCs w:val="24"/>
        </w:rPr>
        <w:t xml:space="preserve">. Therefore, the specific </w:t>
      </w:r>
      <w:r w:rsidR="004636B8">
        <w:rPr>
          <w:color w:val="000000" w:themeColor="text1"/>
          <w:sz w:val="24"/>
          <w:szCs w:val="24"/>
        </w:rPr>
        <w:t>monitoring, recordkeeping, and reporting requirements</w:t>
      </w:r>
      <w:r>
        <w:rPr>
          <w:color w:val="000000" w:themeColor="text1"/>
          <w:sz w:val="24"/>
          <w:szCs w:val="24"/>
        </w:rPr>
        <w:t xml:space="preserve"> of Subpart AAAA are addressed in the permit</w:t>
      </w:r>
      <w:r w:rsidR="004636B8">
        <w:rPr>
          <w:color w:val="000000" w:themeColor="text1"/>
          <w:sz w:val="24"/>
          <w:szCs w:val="24"/>
        </w:rPr>
        <w:t>.</w:t>
      </w:r>
      <w:r>
        <w:rPr>
          <w:color w:val="000000" w:themeColor="text1"/>
          <w:sz w:val="24"/>
          <w:szCs w:val="24"/>
        </w:rPr>
        <w:t xml:space="preserve"> </w:t>
      </w:r>
    </w:p>
    <w:p w14:paraId="6548DF04" w14:textId="7389B28A" w:rsidR="00432C72" w:rsidRDefault="004636B8" w:rsidP="001B0DBC">
      <w:pPr>
        <w:keepNext/>
        <w:spacing w:before="240" w:after="120"/>
        <w:jc w:val="both"/>
        <w:rPr>
          <w:b/>
          <w:bCs/>
          <w:i/>
          <w:iCs/>
          <w:color w:val="000000" w:themeColor="text1"/>
          <w:sz w:val="24"/>
          <w:szCs w:val="24"/>
        </w:rPr>
      </w:pPr>
      <w:r>
        <w:rPr>
          <w:b/>
          <w:bCs/>
          <w:i/>
          <w:iCs/>
          <w:color w:val="000000" w:themeColor="text1"/>
          <w:sz w:val="24"/>
          <w:szCs w:val="24"/>
        </w:rPr>
        <w:t>4</w:t>
      </w:r>
      <w:r w:rsidR="00187994">
        <w:rPr>
          <w:b/>
          <w:bCs/>
          <w:i/>
          <w:iCs/>
          <w:color w:val="000000" w:themeColor="text1"/>
          <w:sz w:val="24"/>
          <w:szCs w:val="24"/>
        </w:rPr>
        <w:t xml:space="preserve">0 CFR 63 Subpart ZZZZ </w:t>
      </w:r>
      <w:r w:rsidR="00187994">
        <w:rPr>
          <w:b/>
          <w:i/>
          <w:sz w:val="24"/>
          <w:szCs w:val="24"/>
        </w:rPr>
        <w:t xml:space="preserve">– </w:t>
      </w:r>
      <w:r w:rsidR="00D32B5E">
        <w:rPr>
          <w:b/>
          <w:bCs/>
          <w:i/>
          <w:iCs/>
          <w:color w:val="000000" w:themeColor="text1"/>
          <w:sz w:val="24"/>
          <w:szCs w:val="24"/>
        </w:rPr>
        <w:t xml:space="preserve">NESHAP for Stationary Reciprocating Internal Combustion Engines (RICE) </w:t>
      </w:r>
    </w:p>
    <w:p w14:paraId="14EFC9C9" w14:textId="60233CBB" w:rsidR="00D32B5E" w:rsidRPr="00DF3FF5" w:rsidRDefault="00D32B5E" w:rsidP="001749DB">
      <w:pPr>
        <w:keepNext/>
        <w:spacing w:before="120" w:after="120"/>
        <w:jc w:val="both"/>
        <w:rPr>
          <w:color w:val="000000" w:themeColor="text1"/>
          <w:sz w:val="24"/>
          <w:szCs w:val="24"/>
        </w:rPr>
      </w:pPr>
      <w:r>
        <w:rPr>
          <w:color w:val="000000" w:themeColor="text1"/>
          <w:sz w:val="24"/>
          <w:szCs w:val="24"/>
        </w:rPr>
        <w:t>The provisions of Subpart ZZZZ are applicable to stationary RICE located at area and major sources of HAP emissions. The facility does</w:t>
      </w:r>
      <w:r w:rsidR="00187994">
        <w:rPr>
          <w:color w:val="000000" w:themeColor="text1"/>
          <w:sz w:val="24"/>
          <w:szCs w:val="24"/>
        </w:rPr>
        <w:t xml:space="preserve"> not operate any stationary RICE;</w:t>
      </w:r>
      <w:r>
        <w:rPr>
          <w:color w:val="000000" w:themeColor="text1"/>
          <w:sz w:val="24"/>
          <w:szCs w:val="24"/>
        </w:rPr>
        <w:t xml:space="preserve"> therefore, the provisions of Subpar</w:t>
      </w:r>
      <w:r w:rsidR="00432C72">
        <w:rPr>
          <w:color w:val="000000" w:themeColor="text1"/>
          <w:sz w:val="24"/>
          <w:szCs w:val="24"/>
        </w:rPr>
        <w:t>t</w:t>
      </w:r>
      <w:r>
        <w:rPr>
          <w:color w:val="000000" w:themeColor="text1"/>
          <w:sz w:val="24"/>
          <w:szCs w:val="24"/>
        </w:rPr>
        <w:t xml:space="preserve"> ZZZZ </w:t>
      </w:r>
      <w:r w:rsidRPr="00432C72">
        <w:rPr>
          <w:b/>
          <w:color w:val="000000" w:themeColor="text1"/>
          <w:sz w:val="24"/>
          <w:szCs w:val="24"/>
          <w:u w:val="single"/>
        </w:rPr>
        <w:t>are not</w:t>
      </w:r>
      <w:r>
        <w:rPr>
          <w:color w:val="000000" w:themeColor="text1"/>
          <w:sz w:val="24"/>
          <w:szCs w:val="24"/>
        </w:rPr>
        <w:t xml:space="preserve"> applicable to the landfill. </w:t>
      </w:r>
    </w:p>
    <w:bookmarkEnd w:id="1"/>
    <w:p w14:paraId="47C563CB" w14:textId="77777777" w:rsidR="00AE4F70" w:rsidRDefault="00AE4F70" w:rsidP="00B90BBB">
      <w:pPr>
        <w:spacing w:before="240" w:after="120"/>
        <w:jc w:val="both"/>
        <w:rPr>
          <w:sz w:val="24"/>
          <w:szCs w:val="24"/>
          <w:u w:val="single"/>
        </w:rPr>
      </w:pPr>
      <w:r>
        <w:rPr>
          <w:sz w:val="24"/>
          <w:szCs w:val="24"/>
          <w:u w:val="single"/>
        </w:rPr>
        <w:t>NEW SOURCE PERFORMANCE STANDARDS (NSPS) APPLICABILITY</w:t>
      </w:r>
    </w:p>
    <w:p w14:paraId="2FB571FE" w14:textId="7175246F" w:rsidR="00432C72" w:rsidRDefault="00EF79A1" w:rsidP="00B90BBB">
      <w:pPr>
        <w:keepNext/>
        <w:spacing w:before="240" w:after="120"/>
        <w:jc w:val="both"/>
        <w:rPr>
          <w:b/>
          <w:i/>
          <w:sz w:val="24"/>
          <w:szCs w:val="24"/>
        </w:rPr>
      </w:pPr>
      <w:r>
        <w:rPr>
          <w:b/>
          <w:i/>
          <w:sz w:val="24"/>
          <w:szCs w:val="24"/>
        </w:rPr>
        <w:t xml:space="preserve">40 CFR 60 Subpart Cf – Emission Guidelines for Municipal Solid Waste Landfills </w:t>
      </w:r>
    </w:p>
    <w:p w14:paraId="7A092D86" w14:textId="0CCD03A6" w:rsidR="00EF79A1" w:rsidRDefault="00EF79A1" w:rsidP="001749DB">
      <w:pPr>
        <w:keepNext/>
        <w:spacing w:before="120" w:after="120"/>
        <w:jc w:val="both"/>
        <w:rPr>
          <w:sz w:val="24"/>
          <w:szCs w:val="24"/>
        </w:rPr>
      </w:pPr>
      <w:r>
        <w:rPr>
          <w:sz w:val="24"/>
          <w:szCs w:val="24"/>
        </w:rPr>
        <w:t>These emission guidelines apply to municipal solid waste landfills that commenced construction, modification, or reconstruction on or before July 17, 2014.</w:t>
      </w:r>
      <w:r w:rsidR="004636B8">
        <w:rPr>
          <w:sz w:val="24"/>
          <w:szCs w:val="24"/>
        </w:rPr>
        <w:t xml:space="preserve"> </w:t>
      </w:r>
      <w:r w:rsidR="000D03A7">
        <w:rPr>
          <w:sz w:val="24"/>
          <w:szCs w:val="24"/>
        </w:rPr>
        <w:t xml:space="preserve">To address these guidelines, </w:t>
      </w:r>
      <w:r>
        <w:rPr>
          <w:sz w:val="24"/>
          <w:szCs w:val="24"/>
        </w:rPr>
        <w:t xml:space="preserve">DEQ is </w:t>
      </w:r>
      <w:r w:rsidR="004636B8">
        <w:rPr>
          <w:sz w:val="24"/>
          <w:szCs w:val="24"/>
        </w:rPr>
        <w:t>in the process of developing a S</w:t>
      </w:r>
      <w:r>
        <w:rPr>
          <w:sz w:val="24"/>
          <w:szCs w:val="24"/>
        </w:rPr>
        <w:t xml:space="preserve">tate </w:t>
      </w:r>
      <w:r w:rsidR="004636B8">
        <w:rPr>
          <w:sz w:val="24"/>
          <w:szCs w:val="24"/>
        </w:rPr>
        <w:t>P</w:t>
      </w:r>
      <w:r>
        <w:rPr>
          <w:sz w:val="24"/>
          <w:szCs w:val="24"/>
        </w:rPr>
        <w:t>lan</w:t>
      </w:r>
      <w:r w:rsidR="000D03A7" w:rsidRPr="000D03A7">
        <w:rPr>
          <w:sz w:val="24"/>
          <w:szCs w:val="24"/>
        </w:rPr>
        <w:t xml:space="preserve"> </w:t>
      </w:r>
      <w:r w:rsidR="000D03A7">
        <w:rPr>
          <w:sz w:val="24"/>
          <w:szCs w:val="24"/>
        </w:rPr>
        <w:t>for approval by EPA</w:t>
      </w:r>
      <w:r w:rsidR="00187994">
        <w:rPr>
          <w:sz w:val="24"/>
          <w:szCs w:val="24"/>
        </w:rPr>
        <w:t xml:space="preserve">, </w:t>
      </w:r>
      <w:r w:rsidR="004636B8">
        <w:rPr>
          <w:sz w:val="24"/>
          <w:szCs w:val="24"/>
        </w:rPr>
        <w:t xml:space="preserve">which will be </w:t>
      </w:r>
      <w:r w:rsidR="00187994">
        <w:rPr>
          <w:sz w:val="24"/>
          <w:szCs w:val="24"/>
        </w:rPr>
        <w:t>incorporated in 11 Miss. Admin. Code Pt. 2, Ch. 1</w:t>
      </w:r>
      <w:r w:rsidR="004636B8">
        <w:rPr>
          <w:sz w:val="24"/>
          <w:szCs w:val="24"/>
        </w:rPr>
        <w:t xml:space="preserve">. </w:t>
      </w:r>
      <w:r>
        <w:rPr>
          <w:sz w:val="24"/>
          <w:szCs w:val="24"/>
        </w:rPr>
        <w:t>Upo</w:t>
      </w:r>
      <w:r w:rsidR="004636B8">
        <w:rPr>
          <w:sz w:val="24"/>
          <w:szCs w:val="24"/>
        </w:rPr>
        <w:t>n approval of the S</w:t>
      </w:r>
      <w:r>
        <w:rPr>
          <w:sz w:val="24"/>
          <w:szCs w:val="24"/>
        </w:rPr>
        <w:t xml:space="preserve">tate </w:t>
      </w:r>
      <w:r w:rsidR="004636B8">
        <w:rPr>
          <w:sz w:val="24"/>
          <w:szCs w:val="24"/>
        </w:rPr>
        <w:t>P</w:t>
      </w:r>
      <w:r>
        <w:rPr>
          <w:sz w:val="24"/>
          <w:szCs w:val="24"/>
        </w:rPr>
        <w:t xml:space="preserve">lan, the Title V permit may be reopened to address applicability of the </w:t>
      </w:r>
      <w:r w:rsidR="00EF3DBE">
        <w:rPr>
          <w:sz w:val="24"/>
          <w:szCs w:val="24"/>
        </w:rPr>
        <w:t>State Plan</w:t>
      </w:r>
      <w:r w:rsidR="00187994">
        <w:rPr>
          <w:sz w:val="24"/>
          <w:szCs w:val="24"/>
        </w:rPr>
        <w:t xml:space="preserve"> and removal of </w:t>
      </w:r>
      <w:r w:rsidR="004636B8">
        <w:rPr>
          <w:sz w:val="24"/>
          <w:szCs w:val="24"/>
        </w:rPr>
        <w:t>the Federal Plan</w:t>
      </w:r>
      <w:r>
        <w:rPr>
          <w:sz w:val="24"/>
          <w:szCs w:val="24"/>
        </w:rPr>
        <w:t>.</w:t>
      </w:r>
      <w:r w:rsidR="004636B8">
        <w:rPr>
          <w:sz w:val="24"/>
          <w:szCs w:val="24"/>
        </w:rPr>
        <w:t xml:space="preserve"> However, if NEML has commenced modification </w:t>
      </w:r>
      <w:r w:rsidR="000D03A7">
        <w:rPr>
          <w:sz w:val="24"/>
          <w:szCs w:val="24"/>
        </w:rPr>
        <w:t>to begin construction on</w:t>
      </w:r>
      <w:r w:rsidR="004636B8">
        <w:rPr>
          <w:sz w:val="24"/>
          <w:szCs w:val="24"/>
        </w:rPr>
        <w:t xml:space="preserve"> the </w:t>
      </w:r>
      <w:r w:rsidR="00EF3DBE">
        <w:rPr>
          <w:sz w:val="24"/>
          <w:szCs w:val="24"/>
        </w:rPr>
        <w:t xml:space="preserve">lateral </w:t>
      </w:r>
      <w:r w:rsidR="004636B8">
        <w:rPr>
          <w:sz w:val="24"/>
          <w:szCs w:val="24"/>
        </w:rPr>
        <w:t>expansion, 40 CFR 60 Subpart XXX will apply instead of the State Plan.</w:t>
      </w:r>
    </w:p>
    <w:p w14:paraId="2755CD33" w14:textId="77777777" w:rsidR="00432C72" w:rsidRDefault="00D32B5E" w:rsidP="00B90BBB">
      <w:pPr>
        <w:keepNext/>
        <w:spacing w:before="240" w:after="120"/>
        <w:jc w:val="both"/>
        <w:rPr>
          <w:iCs/>
          <w:color w:val="000000" w:themeColor="text1"/>
          <w:sz w:val="24"/>
          <w:szCs w:val="24"/>
        </w:rPr>
      </w:pPr>
      <w:r w:rsidRPr="007A7D97">
        <w:rPr>
          <w:b/>
          <w:i/>
          <w:sz w:val="24"/>
          <w:szCs w:val="24"/>
        </w:rPr>
        <w:t>40 CFR 60, Subpart WWW</w:t>
      </w:r>
      <w:r w:rsidR="00EF79A1">
        <w:rPr>
          <w:b/>
          <w:i/>
          <w:sz w:val="24"/>
          <w:szCs w:val="24"/>
        </w:rPr>
        <w:t xml:space="preserve"> – </w:t>
      </w:r>
      <w:r w:rsidRPr="00EA021B">
        <w:rPr>
          <w:b/>
          <w:bCs/>
          <w:color w:val="000000" w:themeColor="text1"/>
          <w:sz w:val="24"/>
          <w:szCs w:val="24"/>
        </w:rPr>
        <w:t>S</w:t>
      </w:r>
      <w:r w:rsidRPr="00EA021B">
        <w:rPr>
          <w:b/>
          <w:bCs/>
          <w:i/>
          <w:color w:val="000000" w:themeColor="text1"/>
          <w:sz w:val="24"/>
          <w:szCs w:val="24"/>
        </w:rPr>
        <w:t>tandards of Performance for Municipal Solid Waste Landfills</w:t>
      </w:r>
      <w:r w:rsidRPr="00EA021B">
        <w:rPr>
          <w:b/>
          <w:bCs/>
          <w:color w:val="000000" w:themeColor="text1"/>
        </w:rPr>
        <w:t xml:space="preserve"> </w:t>
      </w:r>
      <w:r w:rsidRPr="00EA021B">
        <w:rPr>
          <w:b/>
          <w:bCs/>
          <w:i/>
          <w:color w:val="000000" w:themeColor="text1"/>
          <w:sz w:val="24"/>
          <w:szCs w:val="24"/>
        </w:rPr>
        <w:t>that Commenced Construction, Reconstruction, or Modification on or after May 30, 1991, but before July 18, 2014</w:t>
      </w:r>
      <w:r w:rsidR="00432C72">
        <w:rPr>
          <w:iCs/>
          <w:color w:val="000000" w:themeColor="text1"/>
          <w:sz w:val="24"/>
          <w:szCs w:val="24"/>
        </w:rPr>
        <w:t xml:space="preserve"> </w:t>
      </w:r>
    </w:p>
    <w:p w14:paraId="7A924726" w14:textId="3B36D799" w:rsidR="00D32B5E" w:rsidRPr="00407575" w:rsidRDefault="00D32B5E" w:rsidP="001749DB">
      <w:pPr>
        <w:keepNext/>
        <w:spacing w:before="120" w:after="120"/>
        <w:jc w:val="both"/>
        <w:rPr>
          <w:color w:val="000000" w:themeColor="text1"/>
          <w:sz w:val="24"/>
          <w:szCs w:val="24"/>
        </w:rPr>
      </w:pPr>
      <w:r>
        <w:rPr>
          <w:iCs/>
          <w:color w:val="000000" w:themeColor="text1"/>
          <w:sz w:val="24"/>
          <w:szCs w:val="24"/>
        </w:rPr>
        <w:t xml:space="preserve">The provisions of Subpart WWW </w:t>
      </w:r>
      <w:r w:rsidR="004636B8">
        <w:rPr>
          <w:iCs/>
          <w:color w:val="000000" w:themeColor="text1"/>
          <w:sz w:val="24"/>
          <w:szCs w:val="24"/>
        </w:rPr>
        <w:t>were previously</w:t>
      </w:r>
      <w:r w:rsidRPr="00407575">
        <w:rPr>
          <w:color w:val="000000" w:themeColor="text1"/>
          <w:sz w:val="24"/>
          <w:szCs w:val="24"/>
        </w:rPr>
        <w:t xml:space="preserve"> applicable to municipal landfills </w:t>
      </w:r>
      <w:r>
        <w:rPr>
          <w:color w:val="000000" w:themeColor="text1"/>
          <w:sz w:val="24"/>
          <w:szCs w:val="24"/>
        </w:rPr>
        <w:t xml:space="preserve">that commence </w:t>
      </w:r>
      <w:r w:rsidRPr="00407575">
        <w:rPr>
          <w:color w:val="000000" w:themeColor="text1"/>
          <w:sz w:val="24"/>
          <w:szCs w:val="24"/>
        </w:rPr>
        <w:t>construct</w:t>
      </w:r>
      <w:r>
        <w:rPr>
          <w:color w:val="000000" w:themeColor="text1"/>
          <w:sz w:val="24"/>
          <w:szCs w:val="24"/>
        </w:rPr>
        <w:t>ion</w:t>
      </w:r>
      <w:r w:rsidRPr="00407575">
        <w:rPr>
          <w:color w:val="000000" w:themeColor="text1"/>
          <w:sz w:val="24"/>
          <w:szCs w:val="24"/>
        </w:rPr>
        <w:t>, reconstruct</w:t>
      </w:r>
      <w:r>
        <w:rPr>
          <w:color w:val="000000" w:themeColor="text1"/>
          <w:sz w:val="24"/>
          <w:szCs w:val="24"/>
        </w:rPr>
        <w:t>ion</w:t>
      </w:r>
      <w:r w:rsidRPr="00407575">
        <w:rPr>
          <w:color w:val="000000" w:themeColor="text1"/>
          <w:sz w:val="24"/>
          <w:szCs w:val="24"/>
        </w:rPr>
        <w:t xml:space="preserve">, </w:t>
      </w:r>
      <w:r>
        <w:rPr>
          <w:color w:val="000000" w:themeColor="text1"/>
          <w:sz w:val="24"/>
          <w:szCs w:val="24"/>
        </w:rPr>
        <w:t>or</w:t>
      </w:r>
      <w:r w:rsidRPr="00407575">
        <w:rPr>
          <w:color w:val="000000" w:themeColor="text1"/>
          <w:sz w:val="24"/>
          <w:szCs w:val="24"/>
        </w:rPr>
        <w:t xml:space="preserve"> modifi</w:t>
      </w:r>
      <w:r>
        <w:rPr>
          <w:color w:val="000000" w:themeColor="text1"/>
          <w:sz w:val="24"/>
          <w:szCs w:val="24"/>
        </w:rPr>
        <w:t>cation</w:t>
      </w:r>
      <w:r w:rsidRPr="00407575">
        <w:rPr>
          <w:color w:val="000000" w:themeColor="text1"/>
          <w:sz w:val="24"/>
          <w:szCs w:val="24"/>
        </w:rPr>
        <w:t xml:space="preserve"> after May 30, 1991</w:t>
      </w:r>
      <w:r>
        <w:rPr>
          <w:color w:val="000000" w:themeColor="text1"/>
          <w:sz w:val="24"/>
          <w:szCs w:val="24"/>
        </w:rPr>
        <w:t xml:space="preserve">, </w:t>
      </w:r>
      <w:r w:rsidRPr="00407575">
        <w:rPr>
          <w:color w:val="000000" w:themeColor="text1"/>
          <w:sz w:val="24"/>
          <w:szCs w:val="24"/>
        </w:rPr>
        <w:t xml:space="preserve">but before July 18, 2014. The </w:t>
      </w:r>
      <w:r>
        <w:rPr>
          <w:color w:val="000000" w:themeColor="text1"/>
          <w:sz w:val="24"/>
          <w:szCs w:val="24"/>
        </w:rPr>
        <w:t>facility</w:t>
      </w:r>
      <w:r w:rsidRPr="00407575">
        <w:rPr>
          <w:color w:val="000000" w:themeColor="text1"/>
          <w:sz w:val="24"/>
          <w:szCs w:val="24"/>
        </w:rPr>
        <w:t xml:space="preserve"> began accepting waste in 1995; therefore, the facility </w:t>
      </w:r>
      <w:r w:rsidR="004636B8">
        <w:rPr>
          <w:b/>
          <w:color w:val="000000" w:themeColor="text1"/>
          <w:sz w:val="24"/>
          <w:szCs w:val="24"/>
          <w:u w:val="single"/>
        </w:rPr>
        <w:t>was previously</w:t>
      </w:r>
      <w:r w:rsidRPr="00407575">
        <w:rPr>
          <w:color w:val="000000" w:themeColor="text1"/>
          <w:sz w:val="24"/>
          <w:szCs w:val="24"/>
        </w:rPr>
        <w:t xml:space="preserve"> subject to </w:t>
      </w:r>
      <w:r>
        <w:rPr>
          <w:color w:val="000000" w:themeColor="text1"/>
          <w:sz w:val="24"/>
          <w:szCs w:val="24"/>
        </w:rPr>
        <w:t xml:space="preserve">the requirements of </w:t>
      </w:r>
      <w:r w:rsidRPr="00407575">
        <w:rPr>
          <w:color w:val="000000" w:themeColor="text1"/>
          <w:sz w:val="24"/>
          <w:szCs w:val="24"/>
        </w:rPr>
        <w:t xml:space="preserve">Subpart WWW. </w:t>
      </w:r>
      <w:r>
        <w:rPr>
          <w:color w:val="000000" w:themeColor="text1"/>
          <w:sz w:val="24"/>
          <w:szCs w:val="24"/>
        </w:rPr>
        <w:t xml:space="preserve">A Tier 2 test conducted in </w:t>
      </w:r>
      <w:r w:rsidR="00BE5308">
        <w:rPr>
          <w:color w:val="000000" w:themeColor="text1"/>
          <w:sz w:val="24"/>
          <w:szCs w:val="24"/>
        </w:rPr>
        <w:t>2017</w:t>
      </w:r>
      <w:r>
        <w:rPr>
          <w:color w:val="000000" w:themeColor="text1"/>
          <w:sz w:val="24"/>
          <w:szCs w:val="24"/>
        </w:rPr>
        <w:t xml:space="preserve"> resulted in </w:t>
      </w:r>
      <w:r w:rsidR="00432C72">
        <w:rPr>
          <w:color w:val="000000" w:themeColor="text1"/>
          <w:sz w:val="24"/>
          <w:szCs w:val="24"/>
        </w:rPr>
        <w:t xml:space="preserve">the </w:t>
      </w:r>
      <w:r>
        <w:rPr>
          <w:color w:val="000000" w:themeColor="text1"/>
          <w:sz w:val="24"/>
          <w:szCs w:val="24"/>
        </w:rPr>
        <w:t xml:space="preserve">calculated NMOC emission rate exceeding 50 Mg/yr. </w:t>
      </w:r>
      <w:r w:rsidR="00BE5308">
        <w:rPr>
          <w:color w:val="000000" w:themeColor="text1"/>
          <w:sz w:val="24"/>
          <w:szCs w:val="24"/>
        </w:rPr>
        <w:t>A gas collection and control system (GCCS) Design Plan was received on August 16, 2018, and subsequently approved by DEQ on February 28, 2019</w:t>
      </w:r>
      <w:r w:rsidR="004636B8">
        <w:rPr>
          <w:color w:val="000000" w:themeColor="text1"/>
          <w:sz w:val="24"/>
          <w:szCs w:val="24"/>
        </w:rPr>
        <w:t>, under Subpart WWW</w:t>
      </w:r>
      <w:r w:rsidR="00BE5308">
        <w:rPr>
          <w:color w:val="000000" w:themeColor="text1"/>
          <w:sz w:val="24"/>
          <w:szCs w:val="24"/>
        </w:rPr>
        <w:t xml:space="preserve">. Since </w:t>
      </w:r>
      <w:r w:rsidR="004636B8">
        <w:rPr>
          <w:color w:val="000000" w:themeColor="text1"/>
          <w:sz w:val="24"/>
          <w:szCs w:val="24"/>
        </w:rPr>
        <w:t>EPA has issued a Federal Plan incorporating the requirements of the Emissions Guidelines issued under 40 CFR 60 Subpart Cf, the requirements of the Federal Plan under 40 CFR 62 Subpart OOO apply instead of 40 CFR 60 Subpart WWW</w:t>
      </w:r>
      <w:r w:rsidR="005D48AD">
        <w:rPr>
          <w:color w:val="000000" w:themeColor="text1"/>
          <w:sz w:val="24"/>
          <w:szCs w:val="24"/>
        </w:rPr>
        <w:t xml:space="preserve">.  </w:t>
      </w:r>
    </w:p>
    <w:p w14:paraId="725F5991" w14:textId="77777777" w:rsidR="00432C72" w:rsidRDefault="00D32B5E" w:rsidP="00432C72">
      <w:pPr>
        <w:tabs>
          <w:tab w:val="left" w:pos="1392"/>
        </w:tabs>
        <w:spacing w:before="240" w:after="120"/>
        <w:jc w:val="both"/>
        <w:rPr>
          <w:color w:val="000000" w:themeColor="text1"/>
          <w:sz w:val="24"/>
          <w:szCs w:val="24"/>
        </w:rPr>
      </w:pPr>
      <w:r w:rsidRPr="00551237">
        <w:rPr>
          <w:b/>
          <w:i/>
          <w:sz w:val="24"/>
          <w:szCs w:val="24"/>
        </w:rPr>
        <w:t>40 CFR 60, Subpart XXX</w:t>
      </w:r>
      <w:r w:rsidR="00EF79A1">
        <w:rPr>
          <w:b/>
          <w:i/>
          <w:sz w:val="24"/>
          <w:szCs w:val="24"/>
        </w:rPr>
        <w:t xml:space="preserve"> – </w:t>
      </w:r>
      <w:r w:rsidRPr="00EA021B">
        <w:rPr>
          <w:b/>
          <w:bCs/>
          <w:i/>
          <w:color w:val="000000" w:themeColor="text1"/>
          <w:sz w:val="24"/>
          <w:szCs w:val="24"/>
        </w:rPr>
        <w:t>Standards of Performance for Municipal Solid Waste Landfills that Commenced Construction, Reconstruction, or Modification After July 17, 2014</w:t>
      </w:r>
      <w:r w:rsidRPr="007E3DDA">
        <w:rPr>
          <w:color w:val="000000" w:themeColor="text1"/>
          <w:sz w:val="24"/>
          <w:szCs w:val="24"/>
        </w:rPr>
        <w:t xml:space="preserve"> </w:t>
      </w:r>
    </w:p>
    <w:p w14:paraId="68132F4E" w14:textId="37BBB4EF" w:rsidR="00D32B5E" w:rsidRPr="007E3DDA" w:rsidRDefault="00D32B5E" w:rsidP="001749DB">
      <w:pPr>
        <w:tabs>
          <w:tab w:val="left" w:pos="1392"/>
        </w:tabs>
        <w:spacing w:before="120" w:after="120"/>
        <w:jc w:val="both"/>
        <w:rPr>
          <w:color w:val="000000" w:themeColor="text1"/>
          <w:sz w:val="24"/>
          <w:szCs w:val="24"/>
        </w:rPr>
      </w:pPr>
      <w:r>
        <w:rPr>
          <w:color w:val="000000" w:themeColor="text1"/>
          <w:sz w:val="24"/>
          <w:szCs w:val="24"/>
        </w:rPr>
        <w:t xml:space="preserve">The provisions of Subpart XXX are </w:t>
      </w:r>
      <w:r w:rsidRPr="007E3DDA">
        <w:rPr>
          <w:color w:val="000000" w:themeColor="text1"/>
          <w:sz w:val="24"/>
          <w:szCs w:val="24"/>
        </w:rPr>
        <w:t>appli</w:t>
      </w:r>
      <w:r>
        <w:rPr>
          <w:color w:val="000000" w:themeColor="text1"/>
          <w:sz w:val="24"/>
          <w:szCs w:val="24"/>
        </w:rPr>
        <w:t>cable</w:t>
      </w:r>
      <w:r w:rsidRPr="007E3DDA">
        <w:rPr>
          <w:color w:val="000000" w:themeColor="text1"/>
          <w:sz w:val="24"/>
          <w:szCs w:val="24"/>
        </w:rPr>
        <w:t xml:space="preserve"> to </w:t>
      </w:r>
      <w:r>
        <w:rPr>
          <w:color w:val="000000" w:themeColor="text1"/>
          <w:sz w:val="24"/>
          <w:szCs w:val="24"/>
        </w:rPr>
        <w:t xml:space="preserve">solid waste </w:t>
      </w:r>
      <w:r w:rsidRPr="007E3DDA">
        <w:rPr>
          <w:color w:val="000000" w:themeColor="text1"/>
          <w:sz w:val="24"/>
          <w:szCs w:val="24"/>
        </w:rPr>
        <w:t xml:space="preserve">landfills that </w:t>
      </w:r>
      <w:r>
        <w:rPr>
          <w:color w:val="000000" w:themeColor="text1"/>
          <w:sz w:val="24"/>
          <w:szCs w:val="24"/>
        </w:rPr>
        <w:t xml:space="preserve">commence </w:t>
      </w:r>
      <w:r w:rsidRPr="007E3DDA">
        <w:rPr>
          <w:color w:val="000000" w:themeColor="text1"/>
          <w:sz w:val="24"/>
          <w:szCs w:val="24"/>
        </w:rPr>
        <w:t>construct</w:t>
      </w:r>
      <w:r>
        <w:rPr>
          <w:color w:val="000000" w:themeColor="text1"/>
          <w:sz w:val="24"/>
          <w:szCs w:val="24"/>
        </w:rPr>
        <w:t>ion</w:t>
      </w:r>
      <w:r w:rsidRPr="007E3DDA">
        <w:rPr>
          <w:color w:val="000000" w:themeColor="text1"/>
          <w:sz w:val="24"/>
          <w:szCs w:val="24"/>
        </w:rPr>
        <w:t>, reconstruct</w:t>
      </w:r>
      <w:r>
        <w:rPr>
          <w:color w:val="000000" w:themeColor="text1"/>
          <w:sz w:val="24"/>
          <w:szCs w:val="24"/>
        </w:rPr>
        <w:t>ion</w:t>
      </w:r>
      <w:r w:rsidRPr="007E3DDA">
        <w:rPr>
          <w:color w:val="000000" w:themeColor="text1"/>
          <w:sz w:val="24"/>
          <w:szCs w:val="24"/>
        </w:rPr>
        <w:t>, or modifi</w:t>
      </w:r>
      <w:r>
        <w:rPr>
          <w:color w:val="000000" w:themeColor="text1"/>
          <w:sz w:val="24"/>
          <w:szCs w:val="24"/>
        </w:rPr>
        <w:t>cation after July 17, 2014. NEML</w:t>
      </w:r>
      <w:r w:rsidRPr="007E3DDA">
        <w:rPr>
          <w:color w:val="000000" w:themeColor="text1"/>
          <w:sz w:val="24"/>
          <w:szCs w:val="24"/>
        </w:rPr>
        <w:t xml:space="preserve"> was constructed </w:t>
      </w:r>
      <w:r w:rsidR="000F7CF3">
        <w:rPr>
          <w:color w:val="000000" w:themeColor="text1"/>
          <w:sz w:val="24"/>
          <w:szCs w:val="24"/>
        </w:rPr>
        <w:t>prior to the NSPS XXX effective date</w:t>
      </w:r>
      <w:r w:rsidR="007B2F43">
        <w:rPr>
          <w:color w:val="000000" w:themeColor="text1"/>
          <w:sz w:val="24"/>
          <w:szCs w:val="24"/>
        </w:rPr>
        <w:t xml:space="preserve">. </w:t>
      </w:r>
      <w:r w:rsidR="004636B8">
        <w:rPr>
          <w:color w:val="000000" w:themeColor="text1"/>
          <w:sz w:val="24"/>
          <w:szCs w:val="24"/>
        </w:rPr>
        <w:t>The proposed</w:t>
      </w:r>
      <w:r w:rsidR="007B2F43">
        <w:rPr>
          <w:color w:val="000000" w:themeColor="text1"/>
          <w:sz w:val="24"/>
          <w:szCs w:val="24"/>
        </w:rPr>
        <w:t xml:space="preserve"> lateral expansion </w:t>
      </w:r>
      <w:r w:rsidR="004636B8">
        <w:rPr>
          <w:color w:val="000000" w:themeColor="text1"/>
          <w:sz w:val="24"/>
          <w:szCs w:val="24"/>
        </w:rPr>
        <w:t>will trigger applicability of Subpart XXX because it will meet the definition of a modification. A modificat</w:t>
      </w:r>
      <w:r w:rsidR="00EF3DBE">
        <w:rPr>
          <w:color w:val="000000" w:themeColor="text1"/>
          <w:sz w:val="24"/>
          <w:szCs w:val="24"/>
        </w:rPr>
        <w:t>ion under Subpart XXX is defined</w:t>
      </w:r>
      <w:r w:rsidR="004636B8">
        <w:rPr>
          <w:color w:val="000000" w:themeColor="text1"/>
          <w:sz w:val="24"/>
          <w:szCs w:val="24"/>
        </w:rPr>
        <w:t xml:space="preserve"> as “</w:t>
      </w:r>
      <w:r w:rsidR="004636B8" w:rsidRPr="004636B8">
        <w:rPr>
          <w:color w:val="000000" w:themeColor="text1"/>
          <w:sz w:val="24"/>
          <w:szCs w:val="24"/>
        </w:rPr>
        <w:t>an increase in the permitted volume design capacity of the landfill by either lateral or vertical expansion based on its permitted design capacity as of July 17, 2014. Modification does not occur until the owner or operator commences construction on the lateral or vertical expansion.</w:t>
      </w:r>
      <w:r w:rsidR="004636B8">
        <w:rPr>
          <w:color w:val="000000" w:themeColor="text1"/>
          <w:sz w:val="24"/>
          <w:szCs w:val="24"/>
        </w:rPr>
        <w:t xml:space="preserve">” </w:t>
      </w:r>
      <w:r w:rsidR="00FB386E">
        <w:rPr>
          <w:color w:val="000000" w:themeColor="text1"/>
          <w:sz w:val="24"/>
          <w:szCs w:val="24"/>
        </w:rPr>
        <w:t>T</w:t>
      </w:r>
      <w:r w:rsidRPr="007E3DDA">
        <w:rPr>
          <w:color w:val="000000" w:themeColor="text1"/>
          <w:sz w:val="24"/>
          <w:szCs w:val="24"/>
        </w:rPr>
        <w:t>h</w:t>
      </w:r>
      <w:r w:rsidR="000D03A7">
        <w:rPr>
          <w:color w:val="000000" w:themeColor="text1"/>
          <w:sz w:val="24"/>
          <w:szCs w:val="24"/>
        </w:rPr>
        <w:t>e provisions of S</w:t>
      </w:r>
      <w:r>
        <w:rPr>
          <w:color w:val="000000" w:themeColor="text1"/>
          <w:sz w:val="24"/>
          <w:szCs w:val="24"/>
        </w:rPr>
        <w:t xml:space="preserve">ubpart XXX </w:t>
      </w:r>
      <w:r w:rsidR="00FB386E">
        <w:rPr>
          <w:b/>
          <w:color w:val="000000" w:themeColor="text1"/>
          <w:sz w:val="24"/>
          <w:szCs w:val="24"/>
          <w:u w:val="single"/>
        </w:rPr>
        <w:t>will be</w:t>
      </w:r>
      <w:r>
        <w:rPr>
          <w:color w:val="000000" w:themeColor="text1"/>
          <w:sz w:val="24"/>
          <w:szCs w:val="24"/>
        </w:rPr>
        <w:t xml:space="preserve"> </w:t>
      </w:r>
      <w:r w:rsidRPr="007E3DDA">
        <w:rPr>
          <w:color w:val="000000" w:themeColor="text1"/>
          <w:sz w:val="24"/>
          <w:szCs w:val="24"/>
        </w:rPr>
        <w:t>applicable</w:t>
      </w:r>
      <w:r w:rsidR="00FB386E">
        <w:rPr>
          <w:color w:val="000000" w:themeColor="text1"/>
          <w:sz w:val="24"/>
          <w:szCs w:val="24"/>
        </w:rPr>
        <w:t xml:space="preserve"> upon commencing construction of a cell to accommodate expansion of the landfill. Because the monitoring, recordkeeping, and reporting requirements of Subpart XXX are almost identical to the Federal Plan and to MACT Subpart AAAA</w:t>
      </w:r>
      <w:r w:rsidR="00FB386E" w:rsidRPr="007E3DDA">
        <w:rPr>
          <w:color w:val="000000" w:themeColor="text1"/>
          <w:sz w:val="24"/>
          <w:szCs w:val="24"/>
        </w:rPr>
        <w:t xml:space="preserve">, </w:t>
      </w:r>
      <w:r w:rsidR="00FB386E">
        <w:rPr>
          <w:color w:val="000000" w:themeColor="text1"/>
          <w:sz w:val="24"/>
          <w:szCs w:val="24"/>
        </w:rPr>
        <w:t xml:space="preserve">the permit requires NEML submit a request for a minor modification to the Title V permit </w:t>
      </w:r>
      <w:r w:rsidR="00FB386E">
        <w:rPr>
          <w:color w:val="000000" w:themeColor="text1"/>
          <w:sz w:val="24"/>
          <w:szCs w:val="24"/>
        </w:rPr>
        <w:lastRenderedPageBreak/>
        <w:t>within 90 days of commencing construction (per 40 CFR 60.762(c)(2)) to incorporate the requirements</w:t>
      </w:r>
      <w:r w:rsidR="000D03A7">
        <w:rPr>
          <w:color w:val="000000" w:themeColor="text1"/>
          <w:sz w:val="24"/>
          <w:szCs w:val="24"/>
        </w:rPr>
        <w:t xml:space="preserve"> of Subpart XXX</w:t>
      </w:r>
      <w:r w:rsidR="00FB386E">
        <w:rPr>
          <w:color w:val="000000" w:themeColor="text1"/>
          <w:sz w:val="24"/>
          <w:szCs w:val="24"/>
        </w:rPr>
        <w:t xml:space="preserve">.  </w:t>
      </w:r>
      <w:r w:rsidR="00EF79A1">
        <w:rPr>
          <w:color w:val="000000" w:themeColor="text1"/>
          <w:sz w:val="24"/>
          <w:szCs w:val="24"/>
        </w:rPr>
        <w:t xml:space="preserve">  </w:t>
      </w:r>
      <w:r w:rsidRPr="007E3DDA">
        <w:rPr>
          <w:color w:val="000000" w:themeColor="text1"/>
          <w:sz w:val="24"/>
          <w:szCs w:val="24"/>
        </w:rPr>
        <w:t xml:space="preserve">  </w:t>
      </w:r>
    </w:p>
    <w:p w14:paraId="1BEC9CEC" w14:textId="12CABFC9" w:rsidR="00FB386E" w:rsidRDefault="00FB386E" w:rsidP="00FB386E">
      <w:pPr>
        <w:spacing w:before="240" w:after="120"/>
        <w:jc w:val="both"/>
        <w:rPr>
          <w:sz w:val="24"/>
          <w:szCs w:val="24"/>
          <w:u w:val="single"/>
        </w:rPr>
      </w:pPr>
      <w:r>
        <w:rPr>
          <w:sz w:val="24"/>
          <w:szCs w:val="24"/>
          <w:u w:val="single"/>
        </w:rPr>
        <w:t>FEDERAL PLAN</w:t>
      </w:r>
    </w:p>
    <w:p w14:paraId="5F4CC201" w14:textId="3CD1BBB0" w:rsidR="00FB386E" w:rsidRDefault="00FB386E" w:rsidP="00FB386E">
      <w:pPr>
        <w:keepNext/>
        <w:spacing w:before="240" w:after="120"/>
        <w:jc w:val="both"/>
        <w:rPr>
          <w:b/>
          <w:i/>
          <w:sz w:val="24"/>
          <w:szCs w:val="24"/>
        </w:rPr>
      </w:pPr>
      <w:r>
        <w:rPr>
          <w:b/>
          <w:i/>
          <w:sz w:val="24"/>
          <w:szCs w:val="24"/>
        </w:rPr>
        <w:t xml:space="preserve">40 CFR 62, Subpart OOO – </w:t>
      </w:r>
      <w:r w:rsidRPr="00FB386E">
        <w:rPr>
          <w:b/>
          <w:i/>
          <w:sz w:val="24"/>
          <w:szCs w:val="24"/>
        </w:rPr>
        <w:t>Federal Plan Requirements for Municipal Solid Waste Landfills That Commenced Construction On or Before July 17, 2014 and Have Not Been Modified or Reconstructed Since July 17, 2014</w:t>
      </w:r>
      <w:r>
        <w:rPr>
          <w:b/>
          <w:i/>
          <w:sz w:val="24"/>
          <w:szCs w:val="24"/>
        </w:rPr>
        <w:t xml:space="preserve"> </w:t>
      </w:r>
    </w:p>
    <w:p w14:paraId="518E104C" w14:textId="658B3FA1" w:rsidR="00981323" w:rsidRDefault="00FB386E" w:rsidP="00FB386E">
      <w:pPr>
        <w:jc w:val="both"/>
        <w:rPr>
          <w:sz w:val="24"/>
          <w:szCs w:val="24"/>
        </w:rPr>
      </w:pPr>
      <w:r>
        <w:rPr>
          <w:sz w:val="24"/>
          <w:szCs w:val="24"/>
        </w:rPr>
        <w:t>The Federal Plan implementing the 2016 Emission Guidelines and Compliance Times for Existing M</w:t>
      </w:r>
      <w:r w:rsidR="00EF3DBE">
        <w:rPr>
          <w:sz w:val="24"/>
          <w:szCs w:val="24"/>
        </w:rPr>
        <w:t>unicipal Solid Waste Landfills (</w:t>
      </w:r>
      <w:r>
        <w:rPr>
          <w:sz w:val="24"/>
          <w:szCs w:val="24"/>
        </w:rPr>
        <w:t>40 CFR 60 Subpart Cf</w:t>
      </w:r>
      <w:r w:rsidR="00EF3DBE">
        <w:rPr>
          <w:sz w:val="24"/>
          <w:szCs w:val="24"/>
        </w:rPr>
        <w:t>)</w:t>
      </w:r>
      <w:r>
        <w:rPr>
          <w:sz w:val="24"/>
          <w:szCs w:val="24"/>
        </w:rPr>
        <w:t xml:space="preserve"> was finalized on May 10, 2021. Since DEQ does not have an approved State Plan, the Federal Plan found in 40 CFR 62 Subpart OOO is in effect and enforced by EPA Region 4. The requirements of the Federal Plan are almost identical to those of 40 CFR 63 Subpart AAAA. Therefore, the requirements of both the Federal</w:t>
      </w:r>
      <w:r w:rsidR="00EC31A8">
        <w:rPr>
          <w:sz w:val="24"/>
          <w:szCs w:val="24"/>
        </w:rPr>
        <w:t xml:space="preserve"> Plan and NESHAP are consolidated, when possible, with regulatory citations for both provided</w:t>
      </w:r>
      <w:r>
        <w:rPr>
          <w:sz w:val="24"/>
          <w:szCs w:val="24"/>
        </w:rPr>
        <w:t>. In general, since NEML is already subject to the GCCS requirements</w:t>
      </w:r>
      <w:r w:rsidR="00981323">
        <w:rPr>
          <w:sz w:val="24"/>
          <w:szCs w:val="24"/>
        </w:rPr>
        <w:t xml:space="preserve">, the only notable differences in the Federal Plan and the NESHAP </w:t>
      </w:r>
      <w:r w:rsidR="00D74C84">
        <w:rPr>
          <w:sz w:val="24"/>
          <w:szCs w:val="24"/>
        </w:rPr>
        <w:t xml:space="preserve">relate to temperature monitoring and </w:t>
      </w:r>
      <w:r w:rsidR="00981323">
        <w:rPr>
          <w:sz w:val="24"/>
          <w:szCs w:val="24"/>
        </w:rPr>
        <w:t>closure requirements</w:t>
      </w:r>
      <w:r w:rsidR="00981323" w:rsidRPr="00585BF7">
        <w:rPr>
          <w:sz w:val="24"/>
          <w:szCs w:val="24"/>
        </w:rPr>
        <w:t>.</w:t>
      </w:r>
      <w:r w:rsidR="004E0BF2" w:rsidRPr="00585BF7">
        <w:rPr>
          <w:sz w:val="24"/>
          <w:szCs w:val="24"/>
        </w:rPr>
        <w:t xml:space="preserve"> </w:t>
      </w:r>
      <w:r w:rsidR="00D74C84" w:rsidRPr="00585BF7">
        <w:rPr>
          <w:sz w:val="24"/>
          <w:szCs w:val="24"/>
        </w:rPr>
        <w:t xml:space="preserve">As allowed in 40 CFR 62.16716, 62.16720, and 62.16722 of the Federal Plan, </w:t>
      </w:r>
      <w:r w:rsidR="004E0BF2" w:rsidRPr="00585BF7">
        <w:rPr>
          <w:sz w:val="24"/>
          <w:szCs w:val="24"/>
        </w:rPr>
        <w:t xml:space="preserve">NEML will opt to comply with </w:t>
      </w:r>
      <w:r w:rsidR="00D74C84" w:rsidRPr="00585BF7">
        <w:rPr>
          <w:sz w:val="24"/>
          <w:szCs w:val="24"/>
        </w:rPr>
        <w:t xml:space="preserve">only </w:t>
      </w:r>
      <w:r w:rsidR="004E0BF2" w:rsidRPr="00585BF7">
        <w:rPr>
          <w:sz w:val="24"/>
          <w:szCs w:val="24"/>
        </w:rPr>
        <w:t xml:space="preserve">the operational standards, </w:t>
      </w:r>
      <w:r w:rsidR="00D74C84" w:rsidRPr="00585BF7">
        <w:rPr>
          <w:sz w:val="24"/>
          <w:szCs w:val="24"/>
        </w:rPr>
        <w:t xml:space="preserve">compliance provisions, and </w:t>
      </w:r>
      <w:r w:rsidR="004E0BF2" w:rsidRPr="00585BF7">
        <w:rPr>
          <w:sz w:val="24"/>
          <w:szCs w:val="24"/>
        </w:rPr>
        <w:t xml:space="preserve">monitoring </w:t>
      </w:r>
      <w:r w:rsidR="00D74C84" w:rsidRPr="00585BF7">
        <w:rPr>
          <w:sz w:val="24"/>
          <w:szCs w:val="24"/>
        </w:rPr>
        <w:t>requirements</w:t>
      </w:r>
      <w:r w:rsidR="004E0BF2" w:rsidRPr="00585BF7">
        <w:rPr>
          <w:sz w:val="24"/>
          <w:szCs w:val="24"/>
        </w:rPr>
        <w:t xml:space="preserve"> </w:t>
      </w:r>
      <w:r w:rsidR="00D74C84" w:rsidRPr="00585BF7">
        <w:rPr>
          <w:sz w:val="24"/>
          <w:szCs w:val="24"/>
        </w:rPr>
        <w:t>(including those for temperature) found in</w:t>
      </w:r>
      <w:r w:rsidR="004E0BF2" w:rsidRPr="00585BF7">
        <w:rPr>
          <w:sz w:val="24"/>
          <w:szCs w:val="24"/>
        </w:rPr>
        <w:t xml:space="preserve"> the NESHAP</w:t>
      </w:r>
      <w:r w:rsidR="00D74C84" w:rsidRPr="00585BF7">
        <w:rPr>
          <w:sz w:val="24"/>
          <w:szCs w:val="24"/>
        </w:rPr>
        <w:t>, specifically 40 CFR 63.1958, 63.1960, and 63.1961.</w:t>
      </w:r>
      <w:r w:rsidR="004E0BF2" w:rsidRPr="00585BF7">
        <w:rPr>
          <w:sz w:val="24"/>
          <w:szCs w:val="24"/>
        </w:rPr>
        <w:t xml:space="preserve"> </w:t>
      </w:r>
      <w:r w:rsidR="00981323" w:rsidRPr="00585BF7">
        <w:rPr>
          <w:sz w:val="24"/>
          <w:szCs w:val="24"/>
        </w:rPr>
        <w:t>The Federal Plan is more stringent in that it allows for removal or decommissioning of the GCCS only after three successive reports show NMOC emissions less than 34 Mg/yr,</w:t>
      </w:r>
      <w:r w:rsidR="00981323">
        <w:rPr>
          <w:sz w:val="24"/>
          <w:szCs w:val="24"/>
        </w:rPr>
        <w:t xml:space="preserve"> as opposed to 50 Mg/yr in the NESHAP. </w:t>
      </w:r>
      <w:r w:rsidR="00343BA0">
        <w:rPr>
          <w:sz w:val="24"/>
          <w:szCs w:val="24"/>
        </w:rPr>
        <w:t>The facility has an approved existing Landfill Gas Collection and Control System (GCCS) in place that includes alternative operating scenarios.</w:t>
      </w:r>
      <w:r w:rsidR="00981323">
        <w:rPr>
          <w:sz w:val="24"/>
          <w:szCs w:val="24"/>
        </w:rPr>
        <w:t xml:space="preserve"> </w:t>
      </w:r>
    </w:p>
    <w:p w14:paraId="595B5646" w14:textId="77777777" w:rsidR="00981323" w:rsidRDefault="00981323" w:rsidP="00FB386E">
      <w:pPr>
        <w:jc w:val="both"/>
        <w:rPr>
          <w:sz w:val="24"/>
          <w:szCs w:val="24"/>
        </w:rPr>
      </w:pPr>
    </w:p>
    <w:p w14:paraId="2C67EF25" w14:textId="38A4AC65" w:rsidR="00FB386E" w:rsidRDefault="00981323" w:rsidP="00FB386E">
      <w:pPr>
        <w:jc w:val="both"/>
        <w:rPr>
          <w:sz w:val="24"/>
          <w:szCs w:val="24"/>
          <w:u w:val="single"/>
        </w:rPr>
      </w:pPr>
      <w:r>
        <w:rPr>
          <w:sz w:val="24"/>
          <w:szCs w:val="24"/>
        </w:rPr>
        <w:t>Should EPA approve a State Plan, DEQ will reopen the Title V permit to address the requirements of the State Plan and will remove the Federal Plan. However, should NEML undergo an expansion, or modification, NEML will become subject to the requirements of 40 CFR 60 Subpart XXX, which supplants both the Federal Plan and State Plan, though the requirements are almost identical</w:t>
      </w:r>
      <w:r w:rsidR="00EC31A8">
        <w:rPr>
          <w:sz w:val="24"/>
          <w:szCs w:val="24"/>
        </w:rPr>
        <w:t xml:space="preserve"> to the Federal Plan</w:t>
      </w:r>
      <w:r>
        <w:rPr>
          <w:sz w:val="24"/>
          <w:szCs w:val="24"/>
        </w:rPr>
        <w:t xml:space="preserve">.  </w:t>
      </w:r>
    </w:p>
    <w:p w14:paraId="739CEC13" w14:textId="77777777" w:rsidR="001B0DBC" w:rsidRDefault="001B0DBC" w:rsidP="002E1CF0">
      <w:pPr>
        <w:keepNext/>
        <w:keepLines/>
        <w:jc w:val="both"/>
        <w:rPr>
          <w:sz w:val="24"/>
          <w:szCs w:val="24"/>
          <w:u w:val="single"/>
        </w:rPr>
      </w:pPr>
    </w:p>
    <w:p w14:paraId="0AB52815" w14:textId="61F448E2" w:rsidR="00531513" w:rsidRDefault="00531513" w:rsidP="002E1CF0">
      <w:pPr>
        <w:keepNext/>
        <w:keepLines/>
        <w:jc w:val="both"/>
        <w:rPr>
          <w:sz w:val="24"/>
          <w:szCs w:val="24"/>
          <w:u w:val="single"/>
        </w:rPr>
      </w:pPr>
      <w:r>
        <w:rPr>
          <w:sz w:val="24"/>
          <w:szCs w:val="24"/>
          <w:u w:val="single"/>
        </w:rPr>
        <w:t>SPECIFIC APPLICABLE REQUIREMENTS</w:t>
      </w:r>
    </w:p>
    <w:p w14:paraId="62CF5DE2" w14:textId="77777777" w:rsidR="00531513" w:rsidRDefault="00531513" w:rsidP="002E1CF0">
      <w:pPr>
        <w:keepNext/>
        <w:keepLines/>
        <w:rPr>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1261"/>
        <w:gridCol w:w="3330"/>
        <w:gridCol w:w="3780"/>
      </w:tblGrid>
      <w:tr w:rsidR="00D32B5E" w:rsidRPr="00541DC3" w14:paraId="54D851E5" w14:textId="77777777" w:rsidTr="00604D4C">
        <w:trPr>
          <w:trHeight w:val="134"/>
          <w:jc w:val="center"/>
        </w:trPr>
        <w:tc>
          <w:tcPr>
            <w:tcW w:w="989" w:type="dxa"/>
            <w:shd w:val="clear" w:color="auto" w:fill="D9D9D9" w:themeFill="background1" w:themeFillShade="D9"/>
            <w:vAlign w:val="center"/>
          </w:tcPr>
          <w:p w14:paraId="4851800B" w14:textId="77777777" w:rsidR="00D32B5E" w:rsidRPr="00541DC3" w:rsidRDefault="00D32B5E" w:rsidP="002E1CF0">
            <w:pPr>
              <w:keepNext/>
              <w:keepLines/>
              <w:spacing w:before="60" w:after="60"/>
              <w:jc w:val="center"/>
              <w:rPr>
                <w:sz w:val="18"/>
                <w:szCs w:val="18"/>
              </w:rPr>
            </w:pPr>
            <w:r w:rsidRPr="00541DC3">
              <w:rPr>
                <w:sz w:val="18"/>
                <w:szCs w:val="18"/>
              </w:rPr>
              <w:t>Emission Point No.</w:t>
            </w:r>
          </w:p>
        </w:tc>
        <w:tc>
          <w:tcPr>
            <w:tcW w:w="1261" w:type="dxa"/>
            <w:shd w:val="clear" w:color="auto" w:fill="D9D9D9" w:themeFill="background1" w:themeFillShade="D9"/>
            <w:vAlign w:val="center"/>
          </w:tcPr>
          <w:p w14:paraId="79A9F0C5" w14:textId="77777777" w:rsidR="00D32B5E" w:rsidRPr="00541DC3" w:rsidRDefault="00D32B5E" w:rsidP="002E1CF0">
            <w:pPr>
              <w:keepNext/>
              <w:keepLines/>
              <w:spacing w:before="60" w:after="60"/>
              <w:jc w:val="center"/>
              <w:rPr>
                <w:sz w:val="18"/>
                <w:szCs w:val="18"/>
              </w:rPr>
            </w:pPr>
            <w:r w:rsidRPr="00541DC3">
              <w:rPr>
                <w:sz w:val="18"/>
                <w:szCs w:val="18"/>
              </w:rPr>
              <w:t>Pollutant</w:t>
            </w:r>
          </w:p>
        </w:tc>
        <w:tc>
          <w:tcPr>
            <w:tcW w:w="3330" w:type="dxa"/>
            <w:shd w:val="clear" w:color="auto" w:fill="D9D9D9" w:themeFill="background1" w:themeFillShade="D9"/>
            <w:vAlign w:val="center"/>
          </w:tcPr>
          <w:p w14:paraId="0786C06A" w14:textId="77777777" w:rsidR="00D32B5E" w:rsidRPr="00541DC3" w:rsidRDefault="00D32B5E" w:rsidP="002E1CF0">
            <w:pPr>
              <w:keepNext/>
              <w:keepLines/>
              <w:spacing w:before="60" w:after="60"/>
              <w:jc w:val="center"/>
              <w:rPr>
                <w:sz w:val="18"/>
                <w:szCs w:val="18"/>
              </w:rPr>
            </w:pPr>
            <w:r w:rsidRPr="00541DC3">
              <w:rPr>
                <w:sz w:val="18"/>
                <w:szCs w:val="18"/>
              </w:rPr>
              <w:t>Draft Permit Emission Limits</w:t>
            </w:r>
          </w:p>
        </w:tc>
        <w:tc>
          <w:tcPr>
            <w:tcW w:w="3780" w:type="dxa"/>
            <w:shd w:val="clear" w:color="auto" w:fill="D9D9D9" w:themeFill="background1" w:themeFillShade="D9"/>
            <w:vAlign w:val="center"/>
          </w:tcPr>
          <w:p w14:paraId="579045F3" w14:textId="77777777" w:rsidR="00D32B5E" w:rsidRPr="00541DC3" w:rsidRDefault="00D32B5E" w:rsidP="002E1CF0">
            <w:pPr>
              <w:keepNext/>
              <w:keepLines/>
              <w:spacing w:before="60" w:after="60"/>
              <w:jc w:val="center"/>
              <w:rPr>
                <w:sz w:val="18"/>
                <w:szCs w:val="18"/>
              </w:rPr>
            </w:pPr>
            <w:r w:rsidRPr="00541DC3">
              <w:rPr>
                <w:sz w:val="18"/>
                <w:szCs w:val="18"/>
              </w:rPr>
              <w:t>Monitoring Requirements</w:t>
            </w:r>
          </w:p>
        </w:tc>
      </w:tr>
      <w:tr w:rsidR="00432C72" w:rsidRPr="00541DC3" w14:paraId="07B8D7A5" w14:textId="77777777" w:rsidTr="00604D4C">
        <w:trPr>
          <w:trHeight w:val="206"/>
          <w:jc w:val="center"/>
        </w:trPr>
        <w:tc>
          <w:tcPr>
            <w:tcW w:w="989" w:type="dxa"/>
            <w:vMerge w:val="restart"/>
            <w:vAlign w:val="center"/>
          </w:tcPr>
          <w:p w14:paraId="42971949" w14:textId="77777777" w:rsidR="00432C72" w:rsidRPr="00541DC3" w:rsidRDefault="00432C72" w:rsidP="002E1CF0">
            <w:pPr>
              <w:keepNext/>
              <w:keepLines/>
              <w:spacing w:before="60" w:after="60"/>
              <w:jc w:val="center"/>
              <w:rPr>
                <w:sz w:val="18"/>
                <w:szCs w:val="18"/>
              </w:rPr>
            </w:pPr>
            <w:r>
              <w:rPr>
                <w:sz w:val="18"/>
                <w:szCs w:val="18"/>
              </w:rPr>
              <w:t>AA-001</w:t>
            </w:r>
          </w:p>
          <w:p w14:paraId="03B41D47" w14:textId="57C9FC7B" w:rsidR="00432C72" w:rsidRPr="00541DC3" w:rsidRDefault="00432C72" w:rsidP="002E1CF0">
            <w:pPr>
              <w:keepNext/>
              <w:keepLines/>
              <w:spacing w:before="60" w:after="60"/>
              <w:jc w:val="center"/>
              <w:rPr>
                <w:sz w:val="18"/>
                <w:szCs w:val="18"/>
              </w:rPr>
            </w:pPr>
          </w:p>
        </w:tc>
        <w:tc>
          <w:tcPr>
            <w:tcW w:w="1261" w:type="dxa"/>
            <w:vAlign w:val="center"/>
          </w:tcPr>
          <w:p w14:paraId="2FD3DB53" w14:textId="1151E1FD" w:rsidR="00432C72" w:rsidRPr="00541DC3" w:rsidRDefault="00432C72" w:rsidP="002E1CF0">
            <w:pPr>
              <w:keepNext/>
              <w:keepLines/>
              <w:spacing w:before="60" w:after="60"/>
              <w:jc w:val="center"/>
              <w:rPr>
                <w:sz w:val="18"/>
                <w:szCs w:val="18"/>
              </w:rPr>
            </w:pPr>
            <w:r>
              <w:rPr>
                <w:sz w:val="18"/>
                <w:szCs w:val="18"/>
              </w:rPr>
              <w:t>NMOC</w:t>
            </w:r>
          </w:p>
        </w:tc>
        <w:tc>
          <w:tcPr>
            <w:tcW w:w="3330" w:type="dxa"/>
            <w:vAlign w:val="center"/>
          </w:tcPr>
          <w:p w14:paraId="6D91D145" w14:textId="22B2D528" w:rsidR="00432C72" w:rsidRPr="00541DC3" w:rsidRDefault="00432C72" w:rsidP="002E1CF0">
            <w:pPr>
              <w:keepNext/>
              <w:keepLines/>
              <w:spacing w:before="60" w:after="60"/>
              <w:rPr>
                <w:sz w:val="18"/>
                <w:szCs w:val="18"/>
              </w:rPr>
            </w:pPr>
            <w:r>
              <w:rPr>
                <w:sz w:val="18"/>
                <w:szCs w:val="18"/>
              </w:rPr>
              <w:t>Install, operate, and maintain the approved GCCS, including active collection and control by a non-enclosed flare</w:t>
            </w:r>
            <w:r w:rsidR="00243707">
              <w:rPr>
                <w:sz w:val="18"/>
                <w:szCs w:val="18"/>
              </w:rPr>
              <w:t>.</w:t>
            </w:r>
          </w:p>
        </w:tc>
        <w:tc>
          <w:tcPr>
            <w:tcW w:w="3780" w:type="dxa"/>
            <w:vAlign w:val="center"/>
          </w:tcPr>
          <w:p w14:paraId="0E164745" w14:textId="5B4919B2" w:rsidR="00432C72" w:rsidRPr="00541DC3" w:rsidDel="003D5BA0" w:rsidRDefault="00432C72" w:rsidP="00243707">
            <w:pPr>
              <w:keepNext/>
              <w:keepLines/>
              <w:spacing w:before="60" w:after="60"/>
              <w:rPr>
                <w:sz w:val="18"/>
                <w:szCs w:val="18"/>
              </w:rPr>
            </w:pPr>
            <w:r>
              <w:rPr>
                <w:sz w:val="18"/>
                <w:szCs w:val="18"/>
              </w:rPr>
              <w:t xml:space="preserve">Perform monitoring according </w:t>
            </w:r>
            <w:r w:rsidR="002E1CF0">
              <w:rPr>
                <w:sz w:val="18"/>
                <w:szCs w:val="18"/>
              </w:rPr>
              <w:t>to</w:t>
            </w:r>
            <w:r>
              <w:rPr>
                <w:sz w:val="18"/>
                <w:szCs w:val="18"/>
              </w:rPr>
              <w:t xml:space="preserve"> </w:t>
            </w:r>
            <w:r w:rsidR="00243707">
              <w:rPr>
                <w:sz w:val="18"/>
                <w:szCs w:val="18"/>
              </w:rPr>
              <w:t>NESHAP</w:t>
            </w:r>
            <w:r>
              <w:rPr>
                <w:sz w:val="18"/>
                <w:szCs w:val="18"/>
              </w:rPr>
              <w:t xml:space="preserve"> Subpart AAAA and </w:t>
            </w:r>
            <w:r w:rsidR="00243707">
              <w:rPr>
                <w:sz w:val="18"/>
                <w:szCs w:val="18"/>
              </w:rPr>
              <w:t>the Federal Plan, 40 CFR 62 Subpart OOO</w:t>
            </w:r>
            <w:r>
              <w:rPr>
                <w:sz w:val="18"/>
                <w:szCs w:val="18"/>
              </w:rPr>
              <w:t>, including monthly monitoring of each collection well for temperature, oxygen and/or nitrogen, and pressure.  Conduct quarterly surface emissions monitoring for methane. Install an instrument to ensure the flare flame is lit when emissions may be vented to it.</w:t>
            </w:r>
          </w:p>
        </w:tc>
      </w:tr>
      <w:tr w:rsidR="00432C72" w:rsidRPr="00541DC3" w14:paraId="5B3C0128" w14:textId="77777777" w:rsidTr="00604D4C">
        <w:trPr>
          <w:trHeight w:val="206"/>
          <w:jc w:val="center"/>
        </w:trPr>
        <w:tc>
          <w:tcPr>
            <w:tcW w:w="989" w:type="dxa"/>
            <w:vMerge/>
            <w:vAlign w:val="center"/>
          </w:tcPr>
          <w:p w14:paraId="2E35888A" w14:textId="77777777" w:rsidR="00432C72" w:rsidRPr="00541DC3" w:rsidRDefault="00432C72" w:rsidP="002E1CF0">
            <w:pPr>
              <w:keepNext/>
              <w:keepLines/>
              <w:spacing w:before="60" w:after="60"/>
              <w:jc w:val="center"/>
              <w:rPr>
                <w:sz w:val="18"/>
                <w:szCs w:val="18"/>
              </w:rPr>
            </w:pPr>
          </w:p>
        </w:tc>
        <w:tc>
          <w:tcPr>
            <w:tcW w:w="1261" w:type="dxa"/>
            <w:vAlign w:val="center"/>
          </w:tcPr>
          <w:p w14:paraId="56C3D778" w14:textId="77777777" w:rsidR="00432C72" w:rsidRPr="00541DC3" w:rsidRDefault="00432C72" w:rsidP="002E1CF0">
            <w:pPr>
              <w:keepNext/>
              <w:keepLines/>
              <w:spacing w:before="60" w:after="60"/>
              <w:jc w:val="center"/>
              <w:rPr>
                <w:sz w:val="18"/>
                <w:szCs w:val="18"/>
              </w:rPr>
            </w:pPr>
            <w:r w:rsidRPr="00541DC3">
              <w:rPr>
                <w:sz w:val="18"/>
                <w:szCs w:val="18"/>
              </w:rPr>
              <w:t>H</w:t>
            </w:r>
            <w:r w:rsidRPr="00541DC3">
              <w:rPr>
                <w:sz w:val="18"/>
                <w:szCs w:val="18"/>
                <w:vertAlign w:val="subscript"/>
              </w:rPr>
              <w:t>2</w:t>
            </w:r>
            <w:r w:rsidRPr="00541DC3">
              <w:rPr>
                <w:sz w:val="18"/>
                <w:szCs w:val="18"/>
              </w:rPr>
              <w:t>S</w:t>
            </w:r>
          </w:p>
        </w:tc>
        <w:tc>
          <w:tcPr>
            <w:tcW w:w="3330" w:type="dxa"/>
            <w:vAlign w:val="center"/>
          </w:tcPr>
          <w:p w14:paraId="322DFF6B" w14:textId="77777777" w:rsidR="00432C72" w:rsidRPr="00541DC3" w:rsidRDefault="00432C72" w:rsidP="002E1CF0">
            <w:pPr>
              <w:keepNext/>
              <w:keepLines/>
              <w:spacing w:before="60" w:after="60"/>
              <w:rPr>
                <w:sz w:val="18"/>
                <w:szCs w:val="18"/>
              </w:rPr>
            </w:pPr>
            <w:r w:rsidRPr="00541DC3">
              <w:rPr>
                <w:sz w:val="18"/>
                <w:szCs w:val="18"/>
              </w:rPr>
              <w:t>1 grain/100 scf</w:t>
            </w:r>
          </w:p>
        </w:tc>
        <w:tc>
          <w:tcPr>
            <w:tcW w:w="3780" w:type="dxa"/>
            <w:vAlign w:val="center"/>
          </w:tcPr>
          <w:p w14:paraId="29AC8A22" w14:textId="6E353864" w:rsidR="00432C72" w:rsidRPr="00541DC3" w:rsidRDefault="00432C72" w:rsidP="002E1CF0">
            <w:pPr>
              <w:keepNext/>
              <w:keepLines/>
              <w:spacing w:before="60" w:after="60"/>
              <w:rPr>
                <w:sz w:val="18"/>
                <w:szCs w:val="18"/>
              </w:rPr>
            </w:pPr>
            <w:r>
              <w:rPr>
                <w:sz w:val="18"/>
                <w:szCs w:val="18"/>
              </w:rPr>
              <w:t>Collected LFG is routed to</w:t>
            </w:r>
            <w:r w:rsidR="002E1CF0">
              <w:rPr>
                <w:sz w:val="18"/>
                <w:szCs w:val="18"/>
              </w:rPr>
              <w:t xml:space="preserve"> the flare or a third party for treatment.  The flare is monitoring according to MACT Subpart AAAA.</w:t>
            </w:r>
          </w:p>
        </w:tc>
      </w:tr>
      <w:tr w:rsidR="00432C72" w:rsidRPr="00541DC3" w14:paraId="47ABFFE0" w14:textId="77777777" w:rsidTr="00604D4C">
        <w:trPr>
          <w:trHeight w:val="215"/>
          <w:jc w:val="center"/>
        </w:trPr>
        <w:tc>
          <w:tcPr>
            <w:tcW w:w="989" w:type="dxa"/>
            <w:vMerge/>
            <w:vAlign w:val="center"/>
          </w:tcPr>
          <w:p w14:paraId="28054E53" w14:textId="77777777" w:rsidR="00432C72" w:rsidRPr="00541DC3" w:rsidRDefault="00432C72" w:rsidP="002E1CF0">
            <w:pPr>
              <w:keepNext/>
              <w:keepLines/>
              <w:spacing w:before="60" w:after="60"/>
              <w:jc w:val="center"/>
              <w:rPr>
                <w:color w:val="000000" w:themeColor="text1"/>
                <w:sz w:val="18"/>
                <w:szCs w:val="18"/>
              </w:rPr>
            </w:pPr>
          </w:p>
        </w:tc>
        <w:tc>
          <w:tcPr>
            <w:tcW w:w="1261" w:type="dxa"/>
            <w:vMerge w:val="restart"/>
            <w:vAlign w:val="center"/>
          </w:tcPr>
          <w:p w14:paraId="6E9A841E" w14:textId="77777777" w:rsidR="00432C72" w:rsidRPr="00541DC3" w:rsidRDefault="00432C72" w:rsidP="002E1CF0">
            <w:pPr>
              <w:keepNext/>
              <w:keepLines/>
              <w:spacing w:before="60" w:after="60"/>
              <w:jc w:val="center"/>
              <w:rPr>
                <w:color w:val="000000" w:themeColor="text1"/>
                <w:sz w:val="18"/>
                <w:szCs w:val="18"/>
              </w:rPr>
            </w:pPr>
            <w:r w:rsidRPr="00541DC3">
              <w:rPr>
                <w:sz w:val="18"/>
                <w:szCs w:val="18"/>
              </w:rPr>
              <w:t>Asbestos</w:t>
            </w:r>
          </w:p>
        </w:tc>
        <w:tc>
          <w:tcPr>
            <w:tcW w:w="3330" w:type="dxa"/>
            <w:vAlign w:val="center"/>
          </w:tcPr>
          <w:p w14:paraId="38CB550E" w14:textId="77777777" w:rsidR="00432C72" w:rsidRPr="00541DC3" w:rsidRDefault="00432C72" w:rsidP="002E1CF0">
            <w:pPr>
              <w:keepNext/>
              <w:keepLines/>
              <w:tabs>
                <w:tab w:val="left" w:pos="-1213"/>
                <w:tab w:val="left" w:pos="-720"/>
                <w:tab w:val="left" w:pos="0"/>
                <w:tab w:val="left" w:pos="810"/>
              </w:tabs>
              <w:spacing w:before="60" w:after="60"/>
              <w:contextualSpacing/>
              <w:rPr>
                <w:color w:val="000000" w:themeColor="text1"/>
                <w:sz w:val="18"/>
                <w:szCs w:val="18"/>
              </w:rPr>
            </w:pPr>
            <w:r w:rsidRPr="00541DC3">
              <w:rPr>
                <w:sz w:val="18"/>
                <w:szCs w:val="18"/>
              </w:rPr>
              <w:t>Visible Emission Requirements</w:t>
            </w:r>
          </w:p>
        </w:tc>
        <w:tc>
          <w:tcPr>
            <w:tcW w:w="3780" w:type="dxa"/>
            <w:vAlign w:val="center"/>
          </w:tcPr>
          <w:p w14:paraId="6B8AD220" w14:textId="77777777" w:rsidR="00432C72" w:rsidRPr="00541DC3" w:rsidRDefault="00432C72" w:rsidP="002E1CF0">
            <w:pPr>
              <w:keepNext/>
              <w:keepLines/>
              <w:spacing w:before="60" w:after="60"/>
              <w:rPr>
                <w:color w:val="000000" w:themeColor="text1"/>
                <w:sz w:val="18"/>
                <w:szCs w:val="18"/>
              </w:rPr>
            </w:pPr>
            <w:r w:rsidRPr="00541DC3">
              <w:rPr>
                <w:sz w:val="18"/>
                <w:szCs w:val="18"/>
              </w:rPr>
              <w:t>Daily visible emissions observations, if the “no visible emissions” compliance option is used</w:t>
            </w:r>
          </w:p>
        </w:tc>
      </w:tr>
      <w:tr w:rsidR="00432C72" w:rsidRPr="00541DC3" w14:paraId="7202F56B" w14:textId="77777777" w:rsidTr="00604D4C">
        <w:trPr>
          <w:trHeight w:val="660"/>
          <w:jc w:val="center"/>
        </w:trPr>
        <w:tc>
          <w:tcPr>
            <w:tcW w:w="989" w:type="dxa"/>
            <w:vMerge/>
            <w:vAlign w:val="center"/>
          </w:tcPr>
          <w:p w14:paraId="2C83FDBB" w14:textId="77777777" w:rsidR="00432C72" w:rsidRPr="00541DC3" w:rsidRDefault="00432C72" w:rsidP="002E1CF0">
            <w:pPr>
              <w:keepNext/>
              <w:keepLines/>
              <w:spacing w:before="60" w:after="60"/>
              <w:jc w:val="center"/>
              <w:rPr>
                <w:color w:val="000000" w:themeColor="text1"/>
                <w:sz w:val="18"/>
                <w:szCs w:val="18"/>
              </w:rPr>
            </w:pPr>
          </w:p>
        </w:tc>
        <w:tc>
          <w:tcPr>
            <w:tcW w:w="1261" w:type="dxa"/>
            <w:vMerge/>
            <w:vAlign w:val="center"/>
          </w:tcPr>
          <w:p w14:paraId="5EA9C21A" w14:textId="77777777" w:rsidR="00432C72" w:rsidRPr="00541DC3" w:rsidRDefault="00432C72" w:rsidP="002E1CF0">
            <w:pPr>
              <w:keepNext/>
              <w:keepLines/>
              <w:spacing w:before="60" w:after="60"/>
              <w:jc w:val="center"/>
              <w:rPr>
                <w:color w:val="000000" w:themeColor="text1"/>
                <w:sz w:val="18"/>
                <w:szCs w:val="18"/>
              </w:rPr>
            </w:pPr>
          </w:p>
        </w:tc>
        <w:tc>
          <w:tcPr>
            <w:tcW w:w="3330" w:type="dxa"/>
            <w:vAlign w:val="center"/>
          </w:tcPr>
          <w:p w14:paraId="3188511D" w14:textId="77777777" w:rsidR="00432C72" w:rsidRPr="00541DC3" w:rsidRDefault="00432C72" w:rsidP="002E1CF0">
            <w:pPr>
              <w:keepNext/>
              <w:keepLines/>
              <w:tabs>
                <w:tab w:val="left" w:pos="-1213"/>
                <w:tab w:val="left" w:pos="-720"/>
                <w:tab w:val="left" w:pos="0"/>
                <w:tab w:val="left" w:pos="810"/>
              </w:tabs>
              <w:spacing w:before="60" w:after="60"/>
              <w:contextualSpacing/>
              <w:rPr>
                <w:color w:val="000000" w:themeColor="text1"/>
                <w:sz w:val="18"/>
                <w:szCs w:val="18"/>
              </w:rPr>
            </w:pPr>
            <w:r w:rsidRPr="00541DC3">
              <w:rPr>
                <w:sz w:val="18"/>
                <w:szCs w:val="18"/>
              </w:rPr>
              <w:t>Warning signs/fencing</w:t>
            </w:r>
          </w:p>
        </w:tc>
        <w:tc>
          <w:tcPr>
            <w:tcW w:w="3780" w:type="dxa"/>
            <w:vAlign w:val="center"/>
          </w:tcPr>
          <w:p w14:paraId="559C8E11" w14:textId="77777777" w:rsidR="00432C72" w:rsidRPr="00541DC3" w:rsidRDefault="00432C72" w:rsidP="002E1CF0">
            <w:pPr>
              <w:keepNext/>
              <w:keepLines/>
              <w:spacing w:before="60" w:after="60"/>
              <w:rPr>
                <w:color w:val="000000" w:themeColor="text1"/>
                <w:sz w:val="18"/>
                <w:szCs w:val="18"/>
              </w:rPr>
            </w:pPr>
            <w:r w:rsidRPr="00541DC3">
              <w:rPr>
                <w:sz w:val="18"/>
                <w:szCs w:val="18"/>
              </w:rPr>
              <w:t>Does not require on-going monitoring.  All signage and fencing is to be installed and maintained to deter access by the general public</w:t>
            </w:r>
          </w:p>
        </w:tc>
      </w:tr>
    </w:tbl>
    <w:p w14:paraId="2E2EAA9E" w14:textId="77777777" w:rsidR="00BA3BCF" w:rsidRPr="00BA3BCF" w:rsidRDefault="00BA3BCF" w:rsidP="00BA3BCF">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jc w:val="both"/>
        <w:rPr>
          <w:sz w:val="32"/>
          <w:szCs w:val="24"/>
        </w:rPr>
      </w:pPr>
    </w:p>
    <w:sectPr w:rsidR="00BA3BCF" w:rsidRPr="00BA3BCF" w:rsidSect="000D03A7">
      <w:headerReference w:type="default" r:id="rId11"/>
      <w:footerReference w:type="default" r:id="rId12"/>
      <w:pgSz w:w="12240" w:h="15840" w:code="1"/>
      <w:pgMar w:top="1440" w:right="1440" w:bottom="1152"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1FC5" w14:textId="77777777" w:rsidR="009A5C2B" w:rsidRDefault="009A5C2B">
      <w:r>
        <w:separator/>
      </w:r>
    </w:p>
  </w:endnote>
  <w:endnote w:type="continuationSeparator" w:id="0">
    <w:p w14:paraId="346B81A8" w14:textId="77777777" w:rsidR="009A5C2B" w:rsidRDefault="009A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077A" w14:textId="77777777" w:rsidR="00AC6B34" w:rsidRDefault="00AC6B34">
    <w:pPr>
      <w:pStyle w:val="Footer"/>
      <w:tabs>
        <w:tab w:val="clear" w:pos="8640"/>
        <w:tab w:val="right" w:pos="9270"/>
      </w:tabs>
    </w:pPr>
    <w:bookmarkStart w:id="2" w:name="aiid"/>
    <w:r w:rsidRPr="00AA0887">
      <w:rPr>
        <w:sz w:val="24"/>
      </w:rPr>
      <w:t>2344</w:t>
    </w:r>
    <w:bookmarkEnd w:id="2"/>
    <w:r w:rsidRPr="00AA0887">
      <w:rPr>
        <w:sz w:val="24"/>
      </w:rPr>
      <w:t xml:space="preserve"> PER20190001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4C4C" w14:textId="77777777" w:rsidR="009A5C2B" w:rsidRDefault="009A5C2B">
      <w:r>
        <w:separator/>
      </w:r>
    </w:p>
  </w:footnote>
  <w:footnote w:type="continuationSeparator" w:id="0">
    <w:p w14:paraId="6E8898D2" w14:textId="77777777" w:rsidR="009A5C2B" w:rsidRDefault="009A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D24A" w14:textId="0AC98EEB" w:rsidR="00AC6B34" w:rsidRDefault="00AC6B34">
    <w:pPr>
      <w:pStyle w:val="Header"/>
      <w:jc w:val="right"/>
      <w:rPr>
        <w:sz w:val="24"/>
        <w:szCs w:val="24"/>
      </w:rPr>
    </w:pPr>
    <w:r w:rsidRPr="00BC4760">
      <w:rPr>
        <w:sz w:val="24"/>
        <w:szCs w:val="24"/>
      </w:rPr>
      <w:t>Information Relative to the Title V Permit</w:t>
    </w:r>
  </w:p>
  <w:p w14:paraId="717C88C9" w14:textId="21485A99" w:rsidR="00AC6B34" w:rsidRPr="00BC4760" w:rsidRDefault="00AC6B34">
    <w:pPr>
      <w:pStyle w:val="Header"/>
      <w:jc w:val="right"/>
      <w:rPr>
        <w:sz w:val="24"/>
        <w:szCs w:val="24"/>
      </w:rPr>
    </w:pPr>
    <w:r>
      <w:rPr>
        <w:sz w:val="24"/>
        <w:szCs w:val="24"/>
      </w:rPr>
      <w:t>Permit No. 2620-00055</w:t>
    </w:r>
  </w:p>
  <w:p w14:paraId="7824400A" w14:textId="27AFC3C3" w:rsidR="00AC6B34" w:rsidRDefault="00AC6B34">
    <w:pPr>
      <w:pStyle w:val="Header"/>
      <w:jc w:val="right"/>
    </w:pPr>
    <w:r w:rsidRPr="00BC4760">
      <w:rPr>
        <w:sz w:val="24"/>
        <w:szCs w:val="24"/>
      </w:rPr>
      <w:t xml:space="preserve">Page </w:t>
    </w:r>
    <w:r w:rsidRPr="00BC4760">
      <w:rPr>
        <w:bCs/>
        <w:sz w:val="24"/>
        <w:szCs w:val="24"/>
      </w:rPr>
      <w:fldChar w:fldCharType="begin"/>
    </w:r>
    <w:r w:rsidRPr="00BC4760">
      <w:rPr>
        <w:bCs/>
        <w:sz w:val="24"/>
        <w:szCs w:val="24"/>
      </w:rPr>
      <w:instrText xml:space="preserve"> PAGE </w:instrText>
    </w:r>
    <w:r w:rsidRPr="00BC4760">
      <w:rPr>
        <w:bCs/>
        <w:sz w:val="24"/>
        <w:szCs w:val="24"/>
      </w:rPr>
      <w:fldChar w:fldCharType="separate"/>
    </w:r>
    <w:r w:rsidR="00DC6D90">
      <w:rPr>
        <w:bCs/>
        <w:noProof/>
        <w:sz w:val="24"/>
        <w:szCs w:val="24"/>
      </w:rPr>
      <w:t>7</w:t>
    </w:r>
    <w:r w:rsidRPr="00BC4760">
      <w:rPr>
        <w:bCs/>
        <w:sz w:val="24"/>
        <w:szCs w:val="24"/>
      </w:rPr>
      <w:fldChar w:fldCharType="end"/>
    </w:r>
    <w:r w:rsidRPr="00BC4760">
      <w:rPr>
        <w:sz w:val="24"/>
        <w:szCs w:val="24"/>
      </w:rPr>
      <w:t xml:space="preserve"> of </w:t>
    </w:r>
    <w:r w:rsidRPr="00BC4760">
      <w:rPr>
        <w:bCs/>
        <w:sz w:val="24"/>
        <w:szCs w:val="24"/>
      </w:rPr>
      <w:fldChar w:fldCharType="begin"/>
    </w:r>
    <w:r w:rsidRPr="00BC4760">
      <w:rPr>
        <w:bCs/>
        <w:sz w:val="24"/>
        <w:szCs w:val="24"/>
      </w:rPr>
      <w:instrText xml:space="preserve"> NUMPAGES  </w:instrText>
    </w:r>
    <w:r w:rsidRPr="00BC4760">
      <w:rPr>
        <w:bCs/>
        <w:sz w:val="24"/>
        <w:szCs w:val="24"/>
      </w:rPr>
      <w:fldChar w:fldCharType="separate"/>
    </w:r>
    <w:r w:rsidR="00DC6D90">
      <w:rPr>
        <w:bCs/>
        <w:noProof/>
        <w:sz w:val="24"/>
        <w:szCs w:val="24"/>
      </w:rPr>
      <w:t>7</w:t>
    </w:r>
    <w:r w:rsidRPr="00BC4760">
      <w:rPr>
        <w:bCs/>
        <w:sz w:val="24"/>
        <w:szCs w:val="24"/>
      </w:rPr>
      <w:fldChar w:fldCharType="end"/>
    </w:r>
  </w:p>
  <w:p w14:paraId="21B9B3B3" w14:textId="77777777" w:rsidR="00AC6B34" w:rsidRDefault="00AC6B34" w:rsidP="00BC47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6BC"/>
    <w:multiLevelType w:val="hybridMultilevel"/>
    <w:tmpl w:val="FE186438"/>
    <w:lvl w:ilvl="0" w:tplc="607014B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6DF40CE"/>
    <w:multiLevelType w:val="hybridMultilevel"/>
    <w:tmpl w:val="CFCC71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F484A30"/>
    <w:multiLevelType w:val="hybridMultilevel"/>
    <w:tmpl w:val="0F56B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D"/>
    <w:rsid w:val="00011B14"/>
    <w:rsid w:val="0005117D"/>
    <w:rsid w:val="00083009"/>
    <w:rsid w:val="000C10C1"/>
    <w:rsid w:val="000D03A7"/>
    <w:rsid w:val="000D0696"/>
    <w:rsid w:val="000F7CF3"/>
    <w:rsid w:val="00104CE2"/>
    <w:rsid w:val="00116779"/>
    <w:rsid w:val="00141F9A"/>
    <w:rsid w:val="00151AE0"/>
    <w:rsid w:val="00161C17"/>
    <w:rsid w:val="001749DB"/>
    <w:rsid w:val="00174A97"/>
    <w:rsid w:val="0018210B"/>
    <w:rsid w:val="001841AD"/>
    <w:rsid w:val="00187994"/>
    <w:rsid w:val="001B0DBC"/>
    <w:rsid w:val="001D7082"/>
    <w:rsid w:val="002109C2"/>
    <w:rsid w:val="002177C8"/>
    <w:rsid w:val="00243707"/>
    <w:rsid w:val="0025327D"/>
    <w:rsid w:val="00260E7B"/>
    <w:rsid w:val="00272DF9"/>
    <w:rsid w:val="00280FAA"/>
    <w:rsid w:val="0029406A"/>
    <w:rsid w:val="002A62E3"/>
    <w:rsid w:val="002A71C6"/>
    <w:rsid w:val="002D2881"/>
    <w:rsid w:val="002D58EE"/>
    <w:rsid w:val="002E1CF0"/>
    <w:rsid w:val="002F08BE"/>
    <w:rsid w:val="00326372"/>
    <w:rsid w:val="00326D55"/>
    <w:rsid w:val="00343BA0"/>
    <w:rsid w:val="00352D52"/>
    <w:rsid w:val="003569E6"/>
    <w:rsid w:val="003A4126"/>
    <w:rsid w:val="003C2807"/>
    <w:rsid w:val="003D5BA0"/>
    <w:rsid w:val="003E1CD8"/>
    <w:rsid w:val="003F7CF6"/>
    <w:rsid w:val="00421490"/>
    <w:rsid w:val="00430F3D"/>
    <w:rsid w:val="00432C72"/>
    <w:rsid w:val="00461018"/>
    <w:rsid w:val="004636B8"/>
    <w:rsid w:val="00471345"/>
    <w:rsid w:val="0048090B"/>
    <w:rsid w:val="0049771A"/>
    <w:rsid w:val="004A3B4B"/>
    <w:rsid w:val="004E0BF2"/>
    <w:rsid w:val="00502BDC"/>
    <w:rsid w:val="00531513"/>
    <w:rsid w:val="00533EFC"/>
    <w:rsid w:val="00537D9E"/>
    <w:rsid w:val="00555F8A"/>
    <w:rsid w:val="0056381C"/>
    <w:rsid w:val="00573932"/>
    <w:rsid w:val="0057731E"/>
    <w:rsid w:val="00577CB8"/>
    <w:rsid w:val="00585BF7"/>
    <w:rsid w:val="00595509"/>
    <w:rsid w:val="005B1352"/>
    <w:rsid w:val="005C46A6"/>
    <w:rsid w:val="005D0C80"/>
    <w:rsid w:val="005D48AD"/>
    <w:rsid w:val="005D7E4C"/>
    <w:rsid w:val="005E1C12"/>
    <w:rsid w:val="005F6106"/>
    <w:rsid w:val="00604D4C"/>
    <w:rsid w:val="00665743"/>
    <w:rsid w:val="00681AD1"/>
    <w:rsid w:val="0069240F"/>
    <w:rsid w:val="006A2FCD"/>
    <w:rsid w:val="006A52EB"/>
    <w:rsid w:val="006D4AA1"/>
    <w:rsid w:val="006E74C7"/>
    <w:rsid w:val="006F0510"/>
    <w:rsid w:val="00710902"/>
    <w:rsid w:val="0072616E"/>
    <w:rsid w:val="0076636C"/>
    <w:rsid w:val="00776610"/>
    <w:rsid w:val="00784227"/>
    <w:rsid w:val="007B2F43"/>
    <w:rsid w:val="007C0A02"/>
    <w:rsid w:val="007C1397"/>
    <w:rsid w:val="007D59A6"/>
    <w:rsid w:val="007E6D99"/>
    <w:rsid w:val="007F462F"/>
    <w:rsid w:val="008176E4"/>
    <w:rsid w:val="00852478"/>
    <w:rsid w:val="0086140E"/>
    <w:rsid w:val="008751D1"/>
    <w:rsid w:val="0089117D"/>
    <w:rsid w:val="0089259B"/>
    <w:rsid w:val="00894A67"/>
    <w:rsid w:val="008A1F39"/>
    <w:rsid w:val="008A385B"/>
    <w:rsid w:val="008E6836"/>
    <w:rsid w:val="00900E96"/>
    <w:rsid w:val="00913A3B"/>
    <w:rsid w:val="00934A58"/>
    <w:rsid w:val="00941800"/>
    <w:rsid w:val="00951761"/>
    <w:rsid w:val="009733EB"/>
    <w:rsid w:val="00981323"/>
    <w:rsid w:val="00984B3A"/>
    <w:rsid w:val="00991620"/>
    <w:rsid w:val="009A1105"/>
    <w:rsid w:val="009A1E5D"/>
    <w:rsid w:val="009A3C9E"/>
    <w:rsid w:val="009A5C2B"/>
    <w:rsid w:val="009E3C18"/>
    <w:rsid w:val="00A03FF7"/>
    <w:rsid w:val="00A219FF"/>
    <w:rsid w:val="00A23A99"/>
    <w:rsid w:val="00A31F25"/>
    <w:rsid w:val="00A35286"/>
    <w:rsid w:val="00A6703F"/>
    <w:rsid w:val="00A8704A"/>
    <w:rsid w:val="00A97B05"/>
    <w:rsid w:val="00AA0887"/>
    <w:rsid w:val="00AB6090"/>
    <w:rsid w:val="00AC6B34"/>
    <w:rsid w:val="00AD7559"/>
    <w:rsid w:val="00AE4F70"/>
    <w:rsid w:val="00B14B3F"/>
    <w:rsid w:val="00B14D72"/>
    <w:rsid w:val="00B670AC"/>
    <w:rsid w:val="00B67BDB"/>
    <w:rsid w:val="00B90BBB"/>
    <w:rsid w:val="00BA35A4"/>
    <w:rsid w:val="00BA3BCF"/>
    <w:rsid w:val="00BB06C2"/>
    <w:rsid w:val="00BC4760"/>
    <w:rsid w:val="00BE5308"/>
    <w:rsid w:val="00BF16FD"/>
    <w:rsid w:val="00C159FA"/>
    <w:rsid w:val="00C50599"/>
    <w:rsid w:val="00C53F3A"/>
    <w:rsid w:val="00C55969"/>
    <w:rsid w:val="00C72133"/>
    <w:rsid w:val="00CB077D"/>
    <w:rsid w:val="00CB37B4"/>
    <w:rsid w:val="00CC1957"/>
    <w:rsid w:val="00D015DD"/>
    <w:rsid w:val="00D0538F"/>
    <w:rsid w:val="00D141A4"/>
    <w:rsid w:val="00D32B5E"/>
    <w:rsid w:val="00D62E13"/>
    <w:rsid w:val="00D7182F"/>
    <w:rsid w:val="00D74C84"/>
    <w:rsid w:val="00D90F67"/>
    <w:rsid w:val="00DC6D90"/>
    <w:rsid w:val="00DD5DF1"/>
    <w:rsid w:val="00DF31AD"/>
    <w:rsid w:val="00E03D2E"/>
    <w:rsid w:val="00E05410"/>
    <w:rsid w:val="00E302DE"/>
    <w:rsid w:val="00E32C65"/>
    <w:rsid w:val="00E60EA3"/>
    <w:rsid w:val="00E76429"/>
    <w:rsid w:val="00E77C66"/>
    <w:rsid w:val="00E82732"/>
    <w:rsid w:val="00EA6AF2"/>
    <w:rsid w:val="00EB79D8"/>
    <w:rsid w:val="00EC31A8"/>
    <w:rsid w:val="00ED2C87"/>
    <w:rsid w:val="00ED6D14"/>
    <w:rsid w:val="00EF3DBE"/>
    <w:rsid w:val="00EF79A1"/>
    <w:rsid w:val="00F13398"/>
    <w:rsid w:val="00F2153D"/>
    <w:rsid w:val="00F5726D"/>
    <w:rsid w:val="00F83CBF"/>
    <w:rsid w:val="00FB386E"/>
    <w:rsid w:val="00FB47F5"/>
    <w:rsid w:val="00FC0485"/>
    <w:rsid w:val="00FD3166"/>
    <w:rsid w:val="00FE4A75"/>
    <w:rsid w:val="00FF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88DB7EB"/>
  <w14:defaultImageDpi w14:val="0"/>
  <w15:docId w15:val="{E4343FCA-ACAE-4252-8D6A-2ED8F0D6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FC04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461018"/>
    <w:rPr>
      <w:rFonts w:cs="Times New Roman"/>
      <w:sz w:val="16"/>
      <w:szCs w:val="16"/>
    </w:rPr>
  </w:style>
  <w:style w:type="paragraph" w:styleId="CommentText">
    <w:name w:val="annotation text"/>
    <w:basedOn w:val="Normal"/>
    <w:link w:val="CommentTextChar"/>
    <w:uiPriority w:val="99"/>
    <w:semiHidden/>
    <w:unhideWhenUsed/>
    <w:rsid w:val="00461018"/>
  </w:style>
  <w:style w:type="character" w:customStyle="1" w:styleId="CommentTextChar">
    <w:name w:val="Comment Text Char"/>
    <w:basedOn w:val="DefaultParagraphFont"/>
    <w:link w:val="CommentText"/>
    <w:uiPriority w:val="99"/>
    <w:semiHidden/>
    <w:locked/>
    <w:rsid w:val="00461018"/>
    <w:rPr>
      <w:rFonts w:cs="Times New Roman"/>
      <w:sz w:val="20"/>
      <w:szCs w:val="20"/>
    </w:rPr>
  </w:style>
  <w:style w:type="paragraph" w:styleId="CommentSubject">
    <w:name w:val="annotation subject"/>
    <w:basedOn w:val="CommentText"/>
    <w:next w:val="CommentText"/>
    <w:link w:val="CommentSubjectChar"/>
    <w:uiPriority w:val="99"/>
    <w:semiHidden/>
    <w:unhideWhenUsed/>
    <w:rsid w:val="00461018"/>
    <w:rPr>
      <w:b/>
      <w:bCs/>
    </w:rPr>
  </w:style>
  <w:style w:type="character" w:customStyle="1" w:styleId="CommentSubjectChar">
    <w:name w:val="Comment Subject Char"/>
    <w:basedOn w:val="CommentTextChar"/>
    <w:link w:val="CommentSubject"/>
    <w:uiPriority w:val="99"/>
    <w:semiHidden/>
    <w:locked/>
    <w:rsid w:val="00461018"/>
    <w:rPr>
      <w:rFonts w:cs="Times New Roman"/>
      <w:b/>
      <w:bCs/>
      <w:sz w:val="20"/>
      <w:szCs w:val="20"/>
    </w:rPr>
  </w:style>
  <w:style w:type="table" w:styleId="TableGrid">
    <w:name w:val="Table Grid"/>
    <w:basedOn w:val="TableNormal"/>
    <w:uiPriority w:val="59"/>
    <w:rsid w:val="00C7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6A52E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0" ma:contentTypeDescription="Create a new document." ma:contentTypeScope="" ma:versionID="8ee7edd9f4ac1161deb70cdaa9506a42">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3bb1e15749204a28df40f0cee8b1355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599C-C7C7-40E1-A295-26F71EEBF9C9}">
  <ds:schemaRefs>
    <ds:schemaRef ds:uri="http://schemas.microsoft.com/sharepoint/v3/contenttype/forms"/>
  </ds:schemaRefs>
</ds:datastoreItem>
</file>

<file path=customXml/itemProps2.xml><?xml version="1.0" encoding="utf-8"?>
<ds:datastoreItem xmlns:ds="http://schemas.openxmlformats.org/officeDocument/2006/customXml" ds:itemID="{48F9EF8C-1E63-41D3-9451-8B0A9F21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0039B-4B8B-4761-8218-5065A5E68FF6}">
  <ds:schemaRefs>
    <ds:schemaRef ds:uri="eef795b6-49ab-43a7-a5e7-d443a2b17ef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3587260a-818f-4988-af14-3ba00715d351"/>
    <ds:schemaRef ds:uri="http://www.w3.org/XML/1998/namespace"/>
    <ds:schemaRef ds:uri="http://purl.org/dc/dcmitype/"/>
  </ds:schemaRefs>
</ds:datastoreItem>
</file>

<file path=customXml/itemProps4.xml><?xml version="1.0" encoding="utf-8"?>
<ds:datastoreItem xmlns:ds="http://schemas.openxmlformats.org/officeDocument/2006/customXml" ds:itemID="{B5CEF3FA-BD5E-4598-BBD9-9D8D1D78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Bruce Ferguson</dc:creator>
  <cp:keywords/>
  <dc:description/>
  <cp:lastModifiedBy>Carla Brown</cp:lastModifiedBy>
  <cp:revision>8</cp:revision>
  <cp:lastPrinted>2021-09-16T16:24:00Z</cp:lastPrinted>
  <dcterms:created xsi:type="dcterms:W3CDTF">2021-10-01T17:44:00Z</dcterms:created>
  <dcterms:modified xsi:type="dcterms:W3CDTF">2022-06-13T15:05:00Z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0x01010009EDFF54B0F6674793E53E677A5875B4</vt:lpwstr>
  </property>
</Properties>
</file>