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3E2E9" w14:textId="77777777" w:rsidR="00AE785C" w:rsidRPr="005A06EE" w:rsidRDefault="00AE785C" w:rsidP="005A06EE">
      <w:pPr>
        <w:pStyle w:val="Subtitle"/>
        <w:jc w:val="center"/>
        <w:rPr>
          <w:rFonts w:ascii="Times New Roman" w:hAnsi="Times New Roman"/>
          <w:b/>
          <w:color w:val="auto"/>
          <w:sz w:val="28"/>
          <w:szCs w:val="28"/>
          <w:u w:val="single"/>
        </w:rPr>
      </w:pPr>
      <w:r w:rsidRPr="005A06EE">
        <w:rPr>
          <w:rFonts w:ascii="Times New Roman" w:hAnsi="Times New Roman"/>
          <w:b/>
          <w:color w:val="auto"/>
          <w:sz w:val="28"/>
          <w:szCs w:val="28"/>
          <w:u w:val="single"/>
        </w:rPr>
        <w:t>PERMIT REVIEW SUMMARY</w:t>
      </w:r>
    </w:p>
    <w:p w14:paraId="1B94B128" w14:textId="77777777" w:rsidR="00AE785C" w:rsidRDefault="00AE785C">
      <w:pPr>
        <w:pStyle w:val="Title"/>
        <w:jc w:val="both"/>
      </w:pPr>
    </w:p>
    <w:p w14:paraId="325CFAF7" w14:textId="0DA1DB19" w:rsidR="00233312" w:rsidRDefault="00233312" w:rsidP="00233312">
      <w:pPr>
        <w:pStyle w:val="Title"/>
        <w:jc w:val="both"/>
      </w:pPr>
      <w:r>
        <w:t>Permit Writer:</w:t>
      </w:r>
      <w:r>
        <w:tab/>
      </w:r>
      <w:r w:rsidR="000D3836">
        <w:rPr>
          <w:b w:val="0"/>
        </w:rPr>
        <w:t>Ivelina Pilgrim</w:t>
      </w:r>
      <w:r>
        <w:rPr>
          <w:b w:val="0"/>
        </w:rPr>
        <w:tab/>
      </w:r>
      <w:r w:rsidR="00C5054A">
        <w:rPr>
          <w:b w:val="0"/>
        </w:rPr>
        <w:t xml:space="preserve">                                  </w:t>
      </w:r>
      <w:r>
        <w:t>Date:</w:t>
      </w:r>
      <w:r>
        <w:rPr>
          <w:b w:val="0"/>
        </w:rPr>
        <w:tab/>
      </w:r>
      <w:r w:rsidR="003C103B">
        <w:rPr>
          <w:b w:val="0"/>
        </w:rPr>
        <w:t>March</w:t>
      </w:r>
      <w:r w:rsidR="003C010C">
        <w:rPr>
          <w:b w:val="0"/>
        </w:rPr>
        <w:t xml:space="preserve"> 22, 2021</w:t>
      </w:r>
    </w:p>
    <w:p w14:paraId="34149F63" w14:textId="77777777" w:rsidR="00562523" w:rsidRDefault="00562523">
      <w:pPr>
        <w:pStyle w:val="Title"/>
        <w:jc w:val="both"/>
      </w:pPr>
    </w:p>
    <w:p w14:paraId="163361A6" w14:textId="77777777" w:rsidR="00AE785C" w:rsidRDefault="00AE785C">
      <w:pPr>
        <w:pStyle w:val="Title"/>
        <w:jc w:val="both"/>
      </w:pPr>
      <w:r>
        <w:t>Company Name:</w:t>
      </w:r>
      <w:r>
        <w:tab/>
      </w:r>
      <w:r>
        <w:rPr>
          <w:b w:val="0"/>
          <w:bCs w:val="0"/>
        </w:rPr>
        <w:t>J T Shannon Lumber Company</w:t>
      </w:r>
      <w:r w:rsidR="00F93473">
        <w:rPr>
          <w:b w:val="0"/>
          <w:bCs w:val="0"/>
        </w:rPr>
        <w:t>,</w:t>
      </w:r>
      <w:r>
        <w:rPr>
          <w:b w:val="0"/>
          <w:bCs w:val="0"/>
        </w:rPr>
        <w:t xml:space="preserve"> Inc</w:t>
      </w:r>
      <w:r w:rsidR="00F93473">
        <w:rPr>
          <w:b w:val="0"/>
          <w:bCs w:val="0"/>
        </w:rPr>
        <w:t>.</w:t>
      </w:r>
    </w:p>
    <w:p w14:paraId="48B10DA7" w14:textId="6F9701A3" w:rsidR="00AE785C" w:rsidRDefault="00AE785C">
      <w:pPr>
        <w:pStyle w:val="Title"/>
        <w:jc w:val="both"/>
        <w:rPr>
          <w:b w:val="0"/>
          <w:bCs w:val="0"/>
        </w:rPr>
      </w:pPr>
      <w:r>
        <w:t>Facility Location:</w:t>
      </w:r>
      <w:r>
        <w:tab/>
      </w:r>
      <w:r>
        <w:rPr>
          <w:b w:val="0"/>
          <w:bCs w:val="0"/>
        </w:rPr>
        <w:t>2200 Cole Road</w:t>
      </w:r>
    </w:p>
    <w:p w14:paraId="4B65AB31" w14:textId="77777777" w:rsidR="000D3836" w:rsidRPr="000D3836" w:rsidRDefault="000D3836" w:rsidP="000D3836">
      <w:pPr>
        <w:pStyle w:val="BodyText3"/>
        <w:rPr>
          <w:bCs/>
          <w:sz w:val="24"/>
          <w:szCs w:val="24"/>
        </w:rPr>
      </w:pPr>
      <w:r w:rsidRPr="000D3836">
        <w:rPr>
          <w:sz w:val="24"/>
          <w:szCs w:val="24"/>
        </w:rPr>
        <w:t xml:space="preserve">                                    Horn Lake, Mississippi</w:t>
      </w:r>
    </w:p>
    <w:p w14:paraId="16654361" w14:textId="77777777" w:rsidR="00AE785C" w:rsidRDefault="00AE785C">
      <w:pPr>
        <w:pStyle w:val="Title"/>
        <w:jc w:val="both"/>
      </w:pPr>
      <w:r>
        <w:t>Source Number:</w:t>
      </w:r>
      <w:r>
        <w:tab/>
      </w:r>
      <w:r>
        <w:rPr>
          <w:b w:val="0"/>
          <w:bCs w:val="0"/>
        </w:rPr>
        <w:t>0680-00041</w:t>
      </w:r>
    </w:p>
    <w:p w14:paraId="5796BAFE" w14:textId="6E17BB61" w:rsidR="00AE785C" w:rsidRDefault="00AE785C">
      <w:pPr>
        <w:pStyle w:val="Title"/>
        <w:jc w:val="both"/>
      </w:pPr>
      <w:r>
        <w:t xml:space="preserve">County: </w:t>
      </w:r>
      <w:r>
        <w:tab/>
      </w:r>
      <w:r>
        <w:tab/>
      </w:r>
      <w:r>
        <w:rPr>
          <w:b w:val="0"/>
          <w:bCs w:val="0"/>
        </w:rPr>
        <w:t>Desoto</w:t>
      </w:r>
    </w:p>
    <w:p w14:paraId="4C907AEA" w14:textId="77777777" w:rsidR="00AE785C" w:rsidRDefault="00AE785C">
      <w:pPr>
        <w:pStyle w:val="Title"/>
        <w:jc w:val="both"/>
      </w:pPr>
    </w:p>
    <w:p w14:paraId="5DC83846" w14:textId="77777777" w:rsidR="001D7E96" w:rsidRDefault="001D7E96" w:rsidP="001D7E96">
      <w:pPr>
        <w:pStyle w:val="Title"/>
        <w:jc w:val="both"/>
        <w:rPr>
          <w:u w:val="single"/>
        </w:rPr>
      </w:pPr>
      <w:r w:rsidRPr="00646EC7">
        <w:rPr>
          <w:u w:val="single"/>
        </w:rPr>
        <w:t>FACILITY DESCRIPTION</w:t>
      </w:r>
    </w:p>
    <w:p w14:paraId="3C39E285" w14:textId="77777777" w:rsidR="00884CB2" w:rsidRDefault="00884CB2" w:rsidP="00D25E43">
      <w:pPr>
        <w:jc w:val="both"/>
      </w:pPr>
    </w:p>
    <w:p w14:paraId="6523CA64" w14:textId="639091E5" w:rsidR="00D25E43" w:rsidRDefault="00D25E43" w:rsidP="00D25E43">
      <w:pPr>
        <w:jc w:val="both"/>
      </w:pPr>
      <w:r w:rsidRPr="00AC05E6">
        <w:t xml:space="preserve">The </w:t>
      </w:r>
      <w:r w:rsidRPr="002D20C9">
        <w:t>J T Shannon Lumber Company</w:t>
      </w:r>
      <w:r w:rsidR="003A53F9">
        <w:t xml:space="preserve"> (‘J T Shannon’)</w:t>
      </w:r>
      <w:r>
        <w:t xml:space="preserve"> </w:t>
      </w:r>
      <w:r w:rsidR="00646EC7">
        <w:t>operates</w:t>
      </w:r>
      <w:r w:rsidR="000A38F1">
        <w:t xml:space="preserve"> an existing sawmill and </w:t>
      </w:r>
      <w:r w:rsidR="00646EC7">
        <w:t xml:space="preserve">produces </w:t>
      </w:r>
      <w:r w:rsidR="000A38F1">
        <w:t xml:space="preserve">dimensional lumber </w:t>
      </w:r>
      <w:r w:rsidR="00646EC7">
        <w:t>from hardwood</w:t>
      </w:r>
      <w:r w:rsidR="00F93473">
        <w:t xml:space="preserve"> timber</w:t>
      </w:r>
      <w:r w:rsidR="00E16FE1">
        <w:t xml:space="preserve">. </w:t>
      </w:r>
      <w:r w:rsidR="00F93473">
        <w:t xml:space="preserve"> </w:t>
      </w:r>
      <w:r w:rsidRPr="00830508">
        <w:t xml:space="preserve">The facility </w:t>
      </w:r>
      <w:r w:rsidR="00E16FE1">
        <w:t>operates</w:t>
      </w:r>
      <w:r w:rsidRPr="00830508">
        <w:t xml:space="preserve"> </w:t>
      </w:r>
      <w:r w:rsidR="00E16FE1">
        <w:t xml:space="preserve">the following air emission sources: </w:t>
      </w:r>
      <w:r>
        <w:t xml:space="preserve">fourteen (14) </w:t>
      </w:r>
      <w:r w:rsidR="00F93473">
        <w:t xml:space="preserve">steam-heated lumber </w:t>
      </w:r>
      <w:proofErr w:type="spellStart"/>
      <w:r>
        <w:t>dry</w:t>
      </w:r>
      <w:r w:rsidR="00F93473">
        <w:t>in</w:t>
      </w:r>
      <w:proofErr w:type="spellEnd"/>
      <w:r>
        <w:t xml:space="preserve"> kilns, one (1) </w:t>
      </w:r>
      <w:r w:rsidRPr="002A0DB9">
        <w:t>28.7 MMBTU/h</w:t>
      </w:r>
      <w:r w:rsidR="00F93473">
        <w:t>ou</w:t>
      </w:r>
      <w:r w:rsidRPr="002A0DB9">
        <w:t xml:space="preserve">r </w:t>
      </w:r>
      <w:r>
        <w:t>wood-f</w:t>
      </w:r>
      <w:r w:rsidRPr="002A0DB9">
        <w:t xml:space="preserve">ired </w:t>
      </w:r>
      <w:r>
        <w:t>b</w:t>
      </w:r>
      <w:r w:rsidRPr="002A0DB9">
        <w:t>oiler</w:t>
      </w:r>
      <w:r>
        <w:t>, one (1) 0.06 MM</w:t>
      </w:r>
      <w:r w:rsidRPr="002A0DB9">
        <w:t>BTU/h</w:t>
      </w:r>
      <w:r w:rsidR="00F93473">
        <w:t>ou</w:t>
      </w:r>
      <w:r w:rsidRPr="002A0DB9">
        <w:t xml:space="preserve">r </w:t>
      </w:r>
      <w:r>
        <w:t>wood-f</w:t>
      </w:r>
      <w:r w:rsidRPr="002A0DB9">
        <w:t xml:space="preserve">ired </w:t>
      </w:r>
      <w:r>
        <w:t>backup b</w:t>
      </w:r>
      <w:r w:rsidRPr="002A0DB9">
        <w:t>oiler</w:t>
      </w:r>
      <w:r>
        <w:t>, two (2) cyclones</w:t>
      </w:r>
      <w:r w:rsidR="00E16FE1">
        <w:t xml:space="preserve"> controlling emissions from </w:t>
      </w:r>
      <w:proofErr w:type="spellStart"/>
      <w:r w:rsidR="00E16FE1">
        <w:t>planing</w:t>
      </w:r>
      <w:proofErr w:type="spellEnd"/>
      <w:r w:rsidR="00E16FE1">
        <w:t xml:space="preserve"> and sorting operations</w:t>
      </w:r>
      <w:r w:rsidR="00F93473">
        <w:t>,</w:t>
      </w:r>
      <w:r w:rsidR="004B2D0A">
        <w:t xml:space="preserve"> and</w:t>
      </w:r>
      <w:r>
        <w:t xml:space="preserve"> one (1) baghouse</w:t>
      </w:r>
      <w:r w:rsidR="00E16FE1">
        <w:t xml:space="preserve"> controlling emissions from sawing and sanding operations</w:t>
      </w:r>
      <w:r w:rsidR="00646EC7">
        <w:t>.</w:t>
      </w:r>
    </w:p>
    <w:p w14:paraId="29184CED" w14:textId="77777777" w:rsidR="001D7E96" w:rsidRDefault="001D7E96" w:rsidP="001D7E96">
      <w:pPr>
        <w:pStyle w:val="Title"/>
        <w:jc w:val="both"/>
        <w:rPr>
          <w:u w:val="single"/>
        </w:rPr>
      </w:pPr>
    </w:p>
    <w:p w14:paraId="244BD779" w14:textId="77777777" w:rsidR="001D7E96" w:rsidRDefault="001D7E96" w:rsidP="001D7E96">
      <w:pPr>
        <w:pStyle w:val="Title"/>
        <w:jc w:val="both"/>
        <w:rPr>
          <w:u w:val="single"/>
        </w:rPr>
      </w:pPr>
      <w:r>
        <w:rPr>
          <w:u w:val="single"/>
        </w:rPr>
        <w:t>PROJECT/PERMIT ACTION DESCRIPTION</w:t>
      </w:r>
    </w:p>
    <w:p w14:paraId="7BD15989" w14:textId="77777777" w:rsidR="00884CB2" w:rsidRDefault="00884CB2" w:rsidP="001D7E96">
      <w:pPr>
        <w:pStyle w:val="Title"/>
        <w:jc w:val="both"/>
        <w:rPr>
          <w:b w:val="0"/>
          <w:bCs w:val="0"/>
        </w:rPr>
      </w:pPr>
    </w:p>
    <w:p w14:paraId="0C95F95A" w14:textId="53E463B1" w:rsidR="002108CF" w:rsidRDefault="003A53F9" w:rsidP="001D7E96">
      <w:pPr>
        <w:pStyle w:val="Title"/>
        <w:jc w:val="both"/>
        <w:rPr>
          <w:b w:val="0"/>
          <w:bCs w:val="0"/>
        </w:rPr>
      </w:pPr>
      <w:r>
        <w:rPr>
          <w:b w:val="0"/>
          <w:bCs w:val="0"/>
        </w:rPr>
        <w:t>J T Shannon is currently operating under a Title V Operating P</w:t>
      </w:r>
      <w:r w:rsidR="002E6667">
        <w:rPr>
          <w:b w:val="0"/>
          <w:bCs w:val="0"/>
        </w:rPr>
        <w:t>ermit (TVOP).</w:t>
      </w:r>
      <w:r>
        <w:rPr>
          <w:b w:val="0"/>
          <w:bCs w:val="0"/>
        </w:rPr>
        <w:t xml:space="preserve"> </w:t>
      </w:r>
      <w:r w:rsidR="00F93473">
        <w:rPr>
          <w:b w:val="0"/>
          <w:bCs w:val="0"/>
        </w:rPr>
        <w:t xml:space="preserve"> </w:t>
      </w:r>
      <w:r>
        <w:rPr>
          <w:b w:val="0"/>
          <w:bCs w:val="0"/>
        </w:rPr>
        <w:t xml:space="preserve">However, facility </w:t>
      </w:r>
      <w:r w:rsidR="006212DF">
        <w:rPr>
          <w:b w:val="0"/>
          <w:bCs w:val="0"/>
        </w:rPr>
        <w:t>operations have reduced</w:t>
      </w:r>
      <w:r>
        <w:rPr>
          <w:b w:val="0"/>
          <w:bCs w:val="0"/>
        </w:rPr>
        <w:t xml:space="preserve"> and </w:t>
      </w:r>
      <w:r w:rsidRPr="003A53F9">
        <w:rPr>
          <w:b w:val="0"/>
          <w:bCs w:val="0"/>
        </w:rPr>
        <w:t xml:space="preserve">solid </w:t>
      </w:r>
      <w:r w:rsidR="00405386">
        <w:rPr>
          <w:b w:val="0"/>
          <w:bCs w:val="0"/>
        </w:rPr>
        <w:t>/</w:t>
      </w:r>
      <w:r w:rsidRPr="003A53F9">
        <w:rPr>
          <w:b w:val="0"/>
          <w:bCs w:val="0"/>
        </w:rPr>
        <w:t xml:space="preserve"> engineered hardwood is no longer manufactured on</w:t>
      </w:r>
      <w:r w:rsidR="00405386">
        <w:rPr>
          <w:b w:val="0"/>
          <w:bCs w:val="0"/>
        </w:rPr>
        <w:t>-</w:t>
      </w:r>
      <w:r w:rsidRPr="003A53F9">
        <w:rPr>
          <w:b w:val="0"/>
          <w:bCs w:val="0"/>
        </w:rPr>
        <w:t xml:space="preserve">site. </w:t>
      </w:r>
      <w:r>
        <w:rPr>
          <w:b w:val="0"/>
          <w:bCs w:val="0"/>
        </w:rPr>
        <w:t xml:space="preserve">The facility has applied for a Synthetic Minor Operating Permit (SMOP) and proposed to </w:t>
      </w:r>
      <w:r w:rsidR="00DD7ECB">
        <w:rPr>
          <w:b w:val="0"/>
          <w:bCs w:val="0"/>
        </w:rPr>
        <w:t xml:space="preserve">respectively </w:t>
      </w:r>
      <w:r>
        <w:rPr>
          <w:b w:val="0"/>
          <w:bCs w:val="0"/>
        </w:rPr>
        <w:t xml:space="preserve">limit particulate matter less than 10 microns </w:t>
      </w:r>
      <w:r w:rsidR="002538BF">
        <w:rPr>
          <w:b w:val="0"/>
          <w:bCs w:val="0"/>
        </w:rPr>
        <w:t xml:space="preserve">(µm) </w:t>
      </w:r>
      <w:r>
        <w:rPr>
          <w:b w:val="0"/>
          <w:bCs w:val="0"/>
        </w:rPr>
        <w:t>in diameter</w:t>
      </w:r>
      <w:r w:rsidR="006212DF">
        <w:rPr>
          <w:b w:val="0"/>
          <w:bCs w:val="0"/>
        </w:rPr>
        <w:t xml:space="preserve"> (PM</w:t>
      </w:r>
      <w:r w:rsidR="006212DF">
        <w:rPr>
          <w:b w:val="0"/>
          <w:bCs w:val="0"/>
          <w:vertAlign w:val="subscript"/>
        </w:rPr>
        <w:t>10</w:t>
      </w:r>
      <w:r w:rsidR="006212DF">
        <w:rPr>
          <w:b w:val="0"/>
          <w:bCs w:val="0"/>
        </w:rPr>
        <w:t>)</w:t>
      </w:r>
      <w:r>
        <w:rPr>
          <w:b w:val="0"/>
          <w:bCs w:val="0"/>
        </w:rPr>
        <w:t xml:space="preserve">, particulate matter less than 2.5 </w:t>
      </w:r>
      <w:r w:rsidR="002538BF">
        <w:rPr>
          <w:b w:val="0"/>
          <w:bCs w:val="0"/>
        </w:rPr>
        <w:t>µm</w:t>
      </w:r>
      <w:r>
        <w:rPr>
          <w:b w:val="0"/>
          <w:bCs w:val="0"/>
        </w:rPr>
        <w:t xml:space="preserve"> in diameter </w:t>
      </w:r>
      <w:r w:rsidR="006212DF">
        <w:rPr>
          <w:b w:val="0"/>
          <w:bCs w:val="0"/>
        </w:rPr>
        <w:t>(PM</w:t>
      </w:r>
      <w:r w:rsidR="006212DF">
        <w:rPr>
          <w:b w:val="0"/>
          <w:bCs w:val="0"/>
          <w:vertAlign w:val="subscript"/>
        </w:rPr>
        <w:t>2.5</w:t>
      </w:r>
      <w:r w:rsidR="006212DF">
        <w:rPr>
          <w:b w:val="0"/>
          <w:bCs w:val="0"/>
        </w:rPr>
        <w:t>)</w:t>
      </w:r>
      <w:r w:rsidR="00DD7ECB">
        <w:rPr>
          <w:b w:val="0"/>
          <w:bCs w:val="0"/>
        </w:rPr>
        <w:t>,</w:t>
      </w:r>
      <w:r w:rsidR="006212DF">
        <w:rPr>
          <w:b w:val="0"/>
          <w:bCs w:val="0"/>
        </w:rPr>
        <w:t xml:space="preserve"> </w:t>
      </w:r>
      <w:r>
        <w:rPr>
          <w:b w:val="0"/>
          <w:bCs w:val="0"/>
        </w:rPr>
        <w:t>and volatile organic compounds</w:t>
      </w:r>
      <w:r w:rsidR="006212DF">
        <w:rPr>
          <w:b w:val="0"/>
          <w:bCs w:val="0"/>
        </w:rPr>
        <w:t xml:space="preserve"> (VOCs)</w:t>
      </w:r>
      <w:r>
        <w:rPr>
          <w:b w:val="0"/>
          <w:bCs w:val="0"/>
        </w:rPr>
        <w:t xml:space="preserve"> below the </w:t>
      </w:r>
      <w:r w:rsidR="00DD7ECB">
        <w:rPr>
          <w:b w:val="0"/>
          <w:bCs w:val="0"/>
        </w:rPr>
        <w:t xml:space="preserve">Title V </w:t>
      </w:r>
      <w:r>
        <w:rPr>
          <w:b w:val="0"/>
          <w:bCs w:val="0"/>
        </w:rPr>
        <w:t xml:space="preserve">major source threshold </w:t>
      </w:r>
      <w:r w:rsidR="00DD7ECB">
        <w:rPr>
          <w:b w:val="0"/>
          <w:bCs w:val="0"/>
        </w:rPr>
        <w:t>[</w:t>
      </w:r>
      <w:r>
        <w:rPr>
          <w:b w:val="0"/>
          <w:bCs w:val="0"/>
        </w:rPr>
        <w:t>99.0 tons per year</w:t>
      </w:r>
      <w:r w:rsidR="00001DFC">
        <w:rPr>
          <w:b w:val="0"/>
          <w:bCs w:val="0"/>
        </w:rPr>
        <w:t xml:space="preserve"> (</w:t>
      </w:r>
      <w:proofErr w:type="spellStart"/>
      <w:r w:rsidR="00001DFC">
        <w:rPr>
          <w:b w:val="0"/>
          <w:bCs w:val="0"/>
        </w:rPr>
        <w:t>tpy</w:t>
      </w:r>
      <w:proofErr w:type="spellEnd"/>
      <w:r w:rsidR="00DD7ECB">
        <w:rPr>
          <w:b w:val="0"/>
          <w:bCs w:val="0"/>
        </w:rPr>
        <w:t xml:space="preserve">)].  </w:t>
      </w:r>
      <w:r w:rsidR="00694EB5">
        <w:rPr>
          <w:b w:val="0"/>
          <w:bCs w:val="0"/>
        </w:rPr>
        <w:t>In addition, the f</w:t>
      </w:r>
      <w:r w:rsidR="00001DFC">
        <w:rPr>
          <w:b w:val="0"/>
          <w:bCs w:val="0"/>
        </w:rPr>
        <w:t>acility will limit the emission</w:t>
      </w:r>
      <w:r w:rsidR="00694EB5">
        <w:rPr>
          <w:b w:val="0"/>
          <w:bCs w:val="0"/>
        </w:rPr>
        <w:t xml:space="preserve"> of each individual hazardous air pollutant (HAP) to </w:t>
      </w:r>
      <w:r w:rsidR="00DD7ECB">
        <w:rPr>
          <w:b w:val="0"/>
          <w:bCs w:val="0"/>
        </w:rPr>
        <w:t xml:space="preserve">no more than </w:t>
      </w:r>
      <w:r w:rsidR="00AA2068">
        <w:rPr>
          <w:b w:val="0"/>
          <w:bCs w:val="0"/>
        </w:rPr>
        <w:t>9.9</w:t>
      </w:r>
      <w:r w:rsidR="00DD7ECB">
        <w:rPr>
          <w:b w:val="0"/>
          <w:bCs w:val="0"/>
        </w:rPr>
        <w:t xml:space="preserve"> </w:t>
      </w:r>
      <w:proofErr w:type="spellStart"/>
      <w:r w:rsidR="00DD7ECB">
        <w:rPr>
          <w:b w:val="0"/>
          <w:bCs w:val="0"/>
        </w:rPr>
        <w:t>tpy</w:t>
      </w:r>
      <w:proofErr w:type="spellEnd"/>
      <w:r w:rsidR="00DD7ECB">
        <w:rPr>
          <w:b w:val="0"/>
          <w:bCs w:val="0"/>
        </w:rPr>
        <w:t xml:space="preserve"> and limit the</w:t>
      </w:r>
      <w:r w:rsidR="00001DFC">
        <w:rPr>
          <w:b w:val="0"/>
          <w:bCs w:val="0"/>
        </w:rPr>
        <w:t xml:space="preserve"> emission of all HAPs combined to </w:t>
      </w:r>
      <w:r w:rsidR="00DD7ECB">
        <w:rPr>
          <w:b w:val="0"/>
          <w:bCs w:val="0"/>
        </w:rPr>
        <w:t xml:space="preserve">no more than </w:t>
      </w:r>
      <w:r w:rsidR="00001DFC">
        <w:rPr>
          <w:b w:val="0"/>
          <w:bCs w:val="0"/>
        </w:rPr>
        <w:t xml:space="preserve">24.9 </w:t>
      </w:r>
      <w:proofErr w:type="spellStart"/>
      <w:r w:rsidR="00001DFC">
        <w:rPr>
          <w:b w:val="0"/>
          <w:bCs w:val="0"/>
        </w:rPr>
        <w:t>tpy</w:t>
      </w:r>
      <w:proofErr w:type="spellEnd"/>
      <w:r w:rsidR="00001DFC">
        <w:rPr>
          <w:b w:val="0"/>
          <w:bCs w:val="0"/>
        </w:rPr>
        <w:t xml:space="preserve">. </w:t>
      </w:r>
      <w:r w:rsidR="00DD7ECB">
        <w:rPr>
          <w:b w:val="0"/>
          <w:bCs w:val="0"/>
        </w:rPr>
        <w:t xml:space="preserve"> </w:t>
      </w:r>
      <w:r w:rsidR="00001DFC">
        <w:rPr>
          <w:b w:val="0"/>
          <w:bCs w:val="0"/>
        </w:rPr>
        <w:t>In order to comply with the PM, PM</w:t>
      </w:r>
      <w:r w:rsidR="00001DFC">
        <w:rPr>
          <w:b w:val="0"/>
          <w:bCs w:val="0"/>
          <w:vertAlign w:val="subscript"/>
        </w:rPr>
        <w:t xml:space="preserve">10 </w:t>
      </w:r>
      <w:r w:rsidR="00001DFC">
        <w:rPr>
          <w:b w:val="0"/>
          <w:bCs w:val="0"/>
        </w:rPr>
        <w:t>and PM</w:t>
      </w:r>
      <w:r w:rsidR="00001DFC" w:rsidRPr="00001DFC">
        <w:rPr>
          <w:b w:val="0"/>
          <w:bCs w:val="0"/>
          <w:vertAlign w:val="subscript"/>
        </w:rPr>
        <w:t xml:space="preserve">2.5 </w:t>
      </w:r>
      <w:r w:rsidR="009F4EB2">
        <w:rPr>
          <w:b w:val="0"/>
          <w:bCs w:val="0"/>
        </w:rPr>
        <w:t xml:space="preserve">limitations, the facility will </w:t>
      </w:r>
      <w:r w:rsidR="00001DFC">
        <w:rPr>
          <w:b w:val="0"/>
          <w:bCs w:val="0"/>
        </w:rPr>
        <w:t xml:space="preserve">conduct maintenance on the cyclones and baghouse and record their hours of operation. </w:t>
      </w:r>
      <w:r w:rsidR="00DD7ECB">
        <w:rPr>
          <w:b w:val="0"/>
          <w:bCs w:val="0"/>
        </w:rPr>
        <w:t xml:space="preserve"> </w:t>
      </w:r>
      <w:r w:rsidR="00AA2068">
        <w:rPr>
          <w:b w:val="0"/>
          <w:bCs w:val="0"/>
        </w:rPr>
        <w:t>J T Shannon is expected to have a large margin of compliance with the VOC and HAP limitations, since the facility</w:t>
      </w:r>
      <w:r w:rsidR="00DD7ECB">
        <w:rPr>
          <w:b w:val="0"/>
          <w:bCs w:val="0"/>
        </w:rPr>
        <w:t xml:space="preserve"> only </w:t>
      </w:r>
      <w:r w:rsidR="00AA2068">
        <w:rPr>
          <w:b w:val="0"/>
          <w:bCs w:val="0"/>
        </w:rPr>
        <w:t xml:space="preserve">dries hardwood. </w:t>
      </w:r>
    </w:p>
    <w:p w14:paraId="708BB49B" w14:textId="77777777" w:rsidR="003A3673" w:rsidRDefault="003A3673" w:rsidP="001D7E96">
      <w:pPr>
        <w:pStyle w:val="Title"/>
        <w:jc w:val="both"/>
        <w:rPr>
          <w:b w:val="0"/>
          <w:bCs w:val="0"/>
        </w:rPr>
      </w:pPr>
    </w:p>
    <w:p w14:paraId="3A9C8004" w14:textId="77777777" w:rsidR="003A3673" w:rsidRDefault="003A3673" w:rsidP="001D7E96">
      <w:pPr>
        <w:pStyle w:val="Title"/>
        <w:jc w:val="both"/>
        <w:rPr>
          <w:b w:val="0"/>
          <w:bCs w:val="0"/>
        </w:rPr>
      </w:pPr>
      <w:r>
        <w:rPr>
          <w:b w:val="0"/>
          <w:bCs w:val="0"/>
        </w:rPr>
        <w:t>While particulate matter (PM) is not considered a Title V criteria pollutant, the facility still has the uncontrolled potential to emit PM in excess of the applicable Prevention of Significant Deterioration (PSD) threshold</w:t>
      </w:r>
      <w:r w:rsidR="007147D8">
        <w:rPr>
          <w:b w:val="0"/>
          <w:bCs w:val="0"/>
        </w:rPr>
        <w:t xml:space="preserve"> of 250 </w:t>
      </w:r>
      <w:proofErr w:type="spellStart"/>
      <w:r w:rsidR="007147D8">
        <w:rPr>
          <w:b w:val="0"/>
          <w:bCs w:val="0"/>
        </w:rPr>
        <w:t>tpy</w:t>
      </w:r>
      <w:proofErr w:type="spellEnd"/>
      <w:r w:rsidR="007147D8">
        <w:rPr>
          <w:b w:val="0"/>
          <w:bCs w:val="0"/>
        </w:rPr>
        <w:t xml:space="preserve">.  Therefore, in order for the facility to avoid PSD applicability, the emission of PM will be limited to no more than 249.0 </w:t>
      </w:r>
      <w:proofErr w:type="spellStart"/>
      <w:r w:rsidR="007147D8">
        <w:rPr>
          <w:b w:val="0"/>
          <w:bCs w:val="0"/>
        </w:rPr>
        <w:t>tpy</w:t>
      </w:r>
      <w:proofErr w:type="spellEnd"/>
      <w:r w:rsidR="007147D8">
        <w:rPr>
          <w:b w:val="0"/>
          <w:bCs w:val="0"/>
        </w:rPr>
        <w:t>.</w:t>
      </w:r>
    </w:p>
    <w:p w14:paraId="20E7EDE6" w14:textId="77777777" w:rsidR="00AA2068" w:rsidRDefault="00AA2068" w:rsidP="001D7E96">
      <w:pPr>
        <w:pStyle w:val="Title"/>
        <w:jc w:val="both"/>
        <w:rPr>
          <w:b w:val="0"/>
          <w:bCs w:val="0"/>
        </w:rPr>
      </w:pPr>
    </w:p>
    <w:p w14:paraId="7C9E5F3A" w14:textId="67CB1B42" w:rsidR="002E6667" w:rsidRDefault="006212DF" w:rsidP="001D7E96">
      <w:pPr>
        <w:pStyle w:val="Title"/>
        <w:jc w:val="both"/>
        <w:rPr>
          <w:b w:val="0"/>
          <w:bCs w:val="0"/>
        </w:rPr>
      </w:pPr>
      <w:r>
        <w:rPr>
          <w:b w:val="0"/>
          <w:bCs w:val="0"/>
        </w:rPr>
        <w:t>The facility has ceased Shamrock Operations</w:t>
      </w:r>
      <w:r w:rsidR="00DD7ECB">
        <w:rPr>
          <w:b w:val="0"/>
          <w:bCs w:val="0"/>
        </w:rPr>
        <w:t>,</w:t>
      </w:r>
      <w:r>
        <w:rPr>
          <w:b w:val="0"/>
          <w:bCs w:val="0"/>
        </w:rPr>
        <w:t xml:space="preserve"> which include sawing and sanding to produce </w:t>
      </w:r>
      <w:proofErr w:type="gramStart"/>
      <w:r>
        <w:rPr>
          <w:b w:val="0"/>
          <w:bCs w:val="0"/>
        </w:rPr>
        <w:t>flooring</w:t>
      </w:r>
      <w:proofErr w:type="gramEnd"/>
      <w:r>
        <w:rPr>
          <w:b w:val="0"/>
          <w:bCs w:val="0"/>
        </w:rPr>
        <w:t xml:space="preserve"> and architectural molding. However, the facility has requested that the baghouse associated with th</w:t>
      </w:r>
      <w:r w:rsidR="00DD7ECB">
        <w:rPr>
          <w:b w:val="0"/>
          <w:bCs w:val="0"/>
        </w:rPr>
        <w:t>e</w:t>
      </w:r>
      <w:r>
        <w:rPr>
          <w:b w:val="0"/>
          <w:bCs w:val="0"/>
        </w:rPr>
        <w:t xml:space="preserve">se operations (Emission Point AA-003) remain in the permit. </w:t>
      </w:r>
      <w:r w:rsidR="003A3673">
        <w:rPr>
          <w:b w:val="0"/>
          <w:bCs w:val="0"/>
        </w:rPr>
        <w:t xml:space="preserve"> </w:t>
      </w:r>
      <w:r w:rsidR="002E6667">
        <w:rPr>
          <w:b w:val="0"/>
          <w:bCs w:val="0"/>
        </w:rPr>
        <w:t>The facility has discontinued sawdust and wood scraps truck load-out operations (Emission Point AA-026) but requested that this emission source remain permitted.</w:t>
      </w:r>
    </w:p>
    <w:p w14:paraId="62B829A2" w14:textId="77777777" w:rsidR="002E6667" w:rsidRDefault="002E6667" w:rsidP="001D7E96">
      <w:pPr>
        <w:pStyle w:val="Title"/>
        <w:jc w:val="both"/>
        <w:rPr>
          <w:b w:val="0"/>
          <w:bCs w:val="0"/>
        </w:rPr>
      </w:pPr>
    </w:p>
    <w:p w14:paraId="4E22058A" w14:textId="77777777" w:rsidR="006212DF" w:rsidRDefault="002E6667" w:rsidP="001D7E96">
      <w:pPr>
        <w:pStyle w:val="Title"/>
        <w:jc w:val="both"/>
        <w:rPr>
          <w:b w:val="0"/>
          <w:bCs w:val="0"/>
        </w:rPr>
      </w:pPr>
      <w:r>
        <w:rPr>
          <w:b w:val="0"/>
          <w:bCs w:val="0"/>
        </w:rPr>
        <w:t>The following emission sources, previously classified as ‘Insignificant Activities’ under the TVOP, have been listed in the permit table:</w:t>
      </w:r>
    </w:p>
    <w:p w14:paraId="2440DE11" w14:textId="77777777" w:rsidR="002E6667" w:rsidRDefault="00D13612" w:rsidP="007147D8">
      <w:pPr>
        <w:pStyle w:val="Title"/>
        <w:numPr>
          <w:ilvl w:val="0"/>
          <w:numId w:val="12"/>
        </w:numPr>
        <w:ind w:left="360"/>
        <w:jc w:val="both"/>
        <w:rPr>
          <w:b w:val="0"/>
          <w:bCs w:val="0"/>
        </w:rPr>
      </w:pPr>
      <w:r>
        <w:rPr>
          <w:b w:val="0"/>
          <w:bCs w:val="0"/>
        </w:rPr>
        <w:lastRenderedPageBreak/>
        <w:t>T</w:t>
      </w:r>
      <w:r w:rsidR="002E6667" w:rsidRPr="002E6667">
        <w:rPr>
          <w:b w:val="0"/>
          <w:bCs w:val="0"/>
        </w:rPr>
        <w:t xml:space="preserve">hree (3) 275-gallon oil </w:t>
      </w:r>
      <w:r>
        <w:rPr>
          <w:b w:val="0"/>
          <w:bCs w:val="0"/>
        </w:rPr>
        <w:t xml:space="preserve">storage </w:t>
      </w:r>
      <w:r w:rsidR="002E6667" w:rsidRPr="002E6667">
        <w:rPr>
          <w:b w:val="0"/>
          <w:bCs w:val="0"/>
        </w:rPr>
        <w:t xml:space="preserve">tanks, one (1) 2,000-gallon diesel </w:t>
      </w:r>
      <w:r>
        <w:rPr>
          <w:b w:val="0"/>
          <w:bCs w:val="0"/>
        </w:rPr>
        <w:t xml:space="preserve">storage </w:t>
      </w:r>
      <w:r w:rsidR="002E6667" w:rsidRPr="002E6667">
        <w:rPr>
          <w:b w:val="0"/>
          <w:bCs w:val="0"/>
        </w:rPr>
        <w:t xml:space="preserve">tank and one (1) 8,000-gallon diesel </w:t>
      </w:r>
      <w:r>
        <w:rPr>
          <w:b w:val="0"/>
          <w:bCs w:val="0"/>
        </w:rPr>
        <w:t xml:space="preserve">storage tank </w:t>
      </w:r>
      <w:r w:rsidR="002E6667">
        <w:rPr>
          <w:b w:val="0"/>
          <w:bCs w:val="0"/>
        </w:rPr>
        <w:t>(Emission Point AA-036)</w:t>
      </w:r>
      <w:r w:rsidR="007147D8">
        <w:rPr>
          <w:b w:val="0"/>
          <w:bCs w:val="0"/>
        </w:rPr>
        <w:t>;</w:t>
      </w:r>
    </w:p>
    <w:p w14:paraId="6793FFA6" w14:textId="77777777" w:rsidR="00D13612" w:rsidRDefault="00D13612" w:rsidP="007147D8">
      <w:pPr>
        <w:pStyle w:val="Title"/>
        <w:ind w:left="360"/>
        <w:jc w:val="both"/>
        <w:rPr>
          <w:b w:val="0"/>
          <w:bCs w:val="0"/>
        </w:rPr>
      </w:pPr>
    </w:p>
    <w:p w14:paraId="33C37C77" w14:textId="77777777" w:rsidR="00D13612" w:rsidRDefault="00D13612" w:rsidP="007147D8">
      <w:pPr>
        <w:pStyle w:val="Title"/>
        <w:numPr>
          <w:ilvl w:val="0"/>
          <w:numId w:val="12"/>
        </w:numPr>
        <w:ind w:left="360"/>
        <w:jc w:val="both"/>
        <w:rPr>
          <w:b w:val="0"/>
          <w:bCs w:val="0"/>
        </w:rPr>
      </w:pPr>
      <w:r w:rsidRPr="00D13612">
        <w:rPr>
          <w:b w:val="0"/>
          <w:bCs w:val="0"/>
        </w:rPr>
        <w:t>Wood-fired barrel stove heater (0.04 MMBTU/h</w:t>
      </w:r>
      <w:r w:rsidR="002538BF">
        <w:rPr>
          <w:b w:val="0"/>
          <w:bCs w:val="0"/>
        </w:rPr>
        <w:t>ou</w:t>
      </w:r>
      <w:r w:rsidRPr="00D13612">
        <w:rPr>
          <w:b w:val="0"/>
          <w:bCs w:val="0"/>
        </w:rPr>
        <w:t>r)</w:t>
      </w:r>
      <w:r>
        <w:rPr>
          <w:b w:val="0"/>
          <w:bCs w:val="0"/>
        </w:rPr>
        <w:t xml:space="preserve"> (Emission Point AA-037)</w:t>
      </w:r>
      <w:r w:rsidR="007147D8">
        <w:rPr>
          <w:b w:val="0"/>
          <w:bCs w:val="0"/>
        </w:rPr>
        <w:t>; and</w:t>
      </w:r>
    </w:p>
    <w:p w14:paraId="6D8AB00D" w14:textId="77777777" w:rsidR="00D13612" w:rsidRDefault="00D13612" w:rsidP="007147D8">
      <w:pPr>
        <w:pStyle w:val="ListParagraph"/>
        <w:ind w:left="360"/>
        <w:rPr>
          <w:b/>
          <w:bCs/>
        </w:rPr>
      </w:pPr>
    </w:p>
    <w:p w14:paraId="7C90E638" w14:textId="75E19E6C" w:rsidR="00D13612" w:rsidRDefault="00D13612" w:rsidP="007147D8">
      <w:pPr>
        <w:pStyle w:val="Title"/>
        <w:numPr>
          <w:ilvl w:val="0"/>
          <w:numId w:val="12"/>
        </w:numPr>
        <w:ind w:left="360"/>
        <w:jc w:val="both"/>
        <w:rPr>
          <w:b w:val="0"/>
          <w:bCs w:val="0"/>
        </w:rPr>
      </w:pPr>
      <w:r>
        <w:rPr>
          <w:b w:val="0"/>
          <w:bCs w:val="0"/>
        </w:rPr>
        <w:t>Facility-wide m</w:t>
      </w:r>
      <w:r w:rsidRPr="00D13612">
        <w:rPr>
          <w:b w:val="0"/>
          <w:bCs w:val="0"/>
        </w:rPr>
        <w:t xml:space="preserve">aintenance activities </w:t>
      </w:r>
      <w:r w:rsidR="007147D8">
        <w:rPr>
          <w:b w:val="0"/>
          <w:bCs w:val="0"/>
        </w:rPr>
        <w:t xml:space="preserve">(which </w:t>
      </w:r>
      <w:r w:rsidRPr="00D13612">
        <w:rPr>
          <w:b w:val="0"/>
          <w:bCs w:val="0"/>
        </w:rPr>
        <w:t>includ</w:t>
      </w:r>
      <w:r w:rsidR="007147D8">
        <w:rPr>
          <w:b w:val="0"/>
          <w:bCs w:val="0"/>
        </w:rPr>
        <w:t>es</w:t>
      </w:r>
      <w:r w:rsidRPr="00D13612">
        <w:rPr>
          <w:b w:val="0"/>
          <w:bCs w:val="0"/>
        </w:rPr>
        <w:t xml:space="preserve"> welding and metalworking</w:t>
      </w:r>
      <w:r w:rsidR="007147D8">
        <w:rPr>
          <w:b w:val="0"/>
          <w:bCs w:val="0"/>
        </w:rPr>
        <w:t>)</w:t>
      </w:r>
      <w:r>
        <w:rPr>
          <w:b w:val="0"/>
          <w:bCs w:val="0"/>
        </w:rPr>
        <w:t xml:space="preserve"> (Emission Point AA-038)</w:t>
      </w:r>
      <w:r w:rsidR="007147D8">
        <w:rPr>
          <w:b w:val="0"/>
          <w:bCs w:val="0"/>
        </w:rPr>
        <w:t>.</w:t>
      </w:r>
    </w:p>
    <w:p w14:paraId="5DDCEA27" w14:textId="77777777" w:rsidR="00C37873" w:rsidRDefault="00C37873" w:rsidP="001D7E96">
      <w:pPr>
        <w:pStyle w:val="Title"/>
        <w:jc w:val="both"/>
        <w:rPr>
          <w:u w:val="single"/>
        </w:rPr>
      </w:pPr>
    </w:p>
    <w:p w14:paraId="7F0FC516" w14:textId="77777777" w:rsidR="001D7E96" w:rsidRDefault="001D7E96" w:rsidP="001D7E96">
      <w:pPr>
        <w:pStyle w:val="Title"/>
        <w:jc w:val="both"/>
        <w:rPr>
          <w:u w:val="single"/>
        </w:rPr>
      </w:pPr>
      <w:r>
        <w:rPr>
          <w:u w:val="single"/>
        </w:rPr>
        <w:t>EMISSION SUMMARY</w:t>
      </w:r>
    </w:p>
    <w:p w14:paraId="1B08E4EA" w14:textId="77777777" w:rsidR="001D7E96" w:rsidRDefault="001D7E96" w:rsidP="001D7E96">
      <w:pPr>
        <w:pStyle w:val="Title"/>
        <w:jc w:val="both"/>
        <w:rPr>
          <w:u w:val="single"/>
        </w:rPr>
      </w:pPr>
    </w:p>
    <w:p w14:paraId="3F42ABAA" w14:textId="77777777" w:rsidR="00D25E43" w:rsidRPr="002F3D57" w:rsidRDefault="00D25E43" w:rsidP="00D25E43">
      <w:pPr>
        <w:pStyle w:val="Title"/>
        <w:jc w:val="both"/>
      </w:pPr>
      <w:bookmarkStart w:id="0" w:name="_Hlk18586215"/>
      <w:r w:rsidRPr="002F3D57">
        <w:t xml:space="preserve">Table 1: Facility-Wide Emissions </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0"/>
        <w:gridCol w:w="720"/>
        <w:gridCol w:w="720"/>
        <w:gridCol w:w="720"/>
        <w:gridCol w:w="720"/>
        <w:gridCol w:w="720"/>
        <w:gridCol w:w="810"/>
        <w:gridCol w:w="810"/>
        <w:gridCol w:w="990"/>
        <w:gridCol w:w="990"/>
      </w:tblGrid>
      <w:tr w:rsidR="00055ED3" w:rsidRPr="00DA2731" w14:paraId="3F212C52" w14:textId="77777777" w:rsidTr="00055ED3">
        <w:trPr>
          <w:trHeight w:val="638"/>
          <w:jc w:val="center"/>
        </w:trPr>
        <w:tc>
          <w:tcPr>
            <w:tcW w:w="2245" w:type="dxa"/>
            <w:shd w:val="clear" w:color="auto" w:fill="BFBFBF"/>
            <w:vAlign w:val="center"/>
          </w:tcPr>
          <w:p w14:paraId="7BC07D9C" w14:textId="77777777" w:rsidR="00055ED3" w:rsidRPr="00416BEC" w:rsidRDefault="00055ED3" w:rsidP="002108CF">
            <w:pPr>
              <w:tabs>
                <w:tab w:val="left" w:pos="5220"/>
              </w:tabs>
              <w:jc w:val="center"/>
              <w:rPr>
                <w:b/>
                <w:sz w:val="20"/>
                <w:szCs w:val="20"/>
              </w:rPr>
            </w:pPr>
          </w:p>
        </w:tc>
        <w:tc>
          <w:tcPr>
            <w:tcW w:w="790" w:type="dxa"/>
            <w:shd w:val="clear" w:color="auto" w:fill="BFBFBF"/>
            <w:vAlign w:val="center"/>
          </w:tcPr>
          <w:p w14:paraId="229FB63F" w14:textId="77777777" w:rsidR="00055ED3" w:rsidRPr="00416BEC" w:rsidRDefault="00055ED3" w:rsidP="002108CF">
            <w:pPr>
              <w:tabs>
                <w:tab w:val="left" w:pos="5220"/>
              </w:tabs>
              <w:jc w:val="center"/>
              <w:rPr>
                <w:b/>
                <w:sz w:val="20"/>
                <w:szCs w:val="20"/>
              </w:rPr>
            </w:pPr>
            <w:r w:rsidRPr="00416BEC">
              <w:rPr>
                <w:b/>
                <w:sz w:val="20"/>
                <w:szCs w:val="20"/>
              </w:rPr>
              <w:t>PM</w:t>
            </w:r>
          </w:p>
        </w:tc>
        <w:tc>
          <w:tcPr>
            <w:tcW w:w="720" w:type="dxa"/>
            <w:shd w:val="clear" w:color="auto" w:fill="BFBFBF"/>
            <w:vAlign w:val="center"/>
          </w:tcPr>
          <w:p w14:paraId="641F4A01" w14:textId="77777777" w:rsidR="00055ED3" w:rsidRPr="00416BEC" w:rsidRDefault="00055ED3" w:rsidP="002108CF">
            <w:pPr>
              <w:tabs>
                <w:tab w:val="left" w:pos="5220"/>
              </w:tabs>
              <w:jc w:val="center"/>
              <w:rPr>
                <w:b/>
                <w:sz w:val="20"/>
                <w:szCs w:val="20"/>
              </w:rPr>
            </w:pPr>
            <w:r w:rsidRPr="00416BEC">
              <w:rPr>
                <w:b/>
                <w:sz w:val="20"/>
                <w:szCs w:val="20"/>
              </w:rPr>
              <w:t>PM</w:t>
            </w:r>
            <w:r w:rsidRPr="00416BEC">
              <w:rPr>
                <w:b/>
                <w:sz w:val="20"/>
                <w:szCs w:val="20"/>
                <w:vertAlign w:val="subscript"/>
              </w:rPr>
              <w:t>10</w:t>
            </w:r>
          </w:p>
        </w:tc>
        <w:tc>
          <w:tcPr>
            <w:tcW w:w="720" w:type="dxa"/>
            <w:shd w:val="clear" w:color="auto" w:fill="BFBFBF"/>
            <w:vAlign w:val="center"/>
          </w:tcPr>
          <w:p w14:paraId="1F66EE45" w14:textId="77777777" w:rsidR="00055ED3" w:rsidRPr="00416BEC" w:rsidRDefault="00055ED3" w:rsidP="002108CF">
            <w:pPr>
              <w:tabs>
                <w:tab w:val="left" w:pos="5220"/>
              </w:tabs>
              <w:jc w:val="center"/>
              <w:rPr>
                <w:b/>
                <w:sz w:val="20"/>
                <w:szCs w:val="20"/>
              </w:rPr>
            </w:pPr>
            <w:r w:rsidRPr="00416BEC">
              <w:rPr>
                <w:b/>
                <w:sz w:val="20"/>
                <w:szCs w:val="20"/>
              </w:rPr>
              <w:t>PM</w:t>
            </w:r>
            <w:r w:rsidRPr="00416BEC">
              <w:rPr>
                <w:b/>
                <w:sz w:val="20"/>
                <w:szCs w:val="20"/>
                <w:vertAlign w:val="subscript"/>
              </w:rPr>
              <w:t>2.5</w:t>
            </w:r>
          </w:p>
        </w:tc>
        <w:tc>
          <w:tcPr>
            <w:tcW w:w="720" w:type="dxa"/>
            <w:shd w:val="clear" w:color="auto" w:fill="BFBFBF"/>
            <w:vAlign w:val="center"/>
          </w:tcPr>
          <w:p w14:paraId="4ACF81BE" w14:textId="77777777" w:rsidR="00055ED3" w:rsidRPr="00416BEC" w:rsidRDefault="00055ED3" w:rsidP="002108CF">
            <w:pPr>
              <w:tabs>
                <w:tab w:val="left" w:pos="5220"/>
              </w:tabs>
              <w:jc w:val="center"/>
              <w:rPr>
                <w:b/>
                <w:sz w:val="20"/>
                <w:szCs w:val="20"/>
              </w:rPr>
            </w:pPr>
            <w:r w:rsidRPr="00416BEC">
              <w:rPr>
                <w:b/>
                <w:sz w:val="20"/>
                <w:szCs w:val="20"/>
              </w:rPr>
              <w:t>SO</w:t>
            </w:r>
            <w:r w:rsidRPr="00416BEC">
              <w:rPr>
                <w:b/>
                <w:sz w:val="20"/>
                <w:szCs w:val="20"/>
                <w:vertAlign w:val="subscript"/>
              </w:rPr>
              <w:t>2</w:t>
            </w:r>
          </w:p>
        </w:tc>
        <w:tc>
          <w:tcPr>
            <w:tcW w:w="720" w:type="dxa"/>
            <w:shd w:val="clear" w:color="auto" w:fill="BFBFBF"/>
            <w:vAlign w:val="center"/>
          </w:tcPr>
          <w:p w14:paraId="15B1241A" w14:textId="77777777" w:rsidR="00055ED3" w:rsidRPr="00416BEC" w:rsidRDefault="00055ED3" w:rsidP="002108CF">
            <w:pPr>
              <w:tabs>
                <w:tab w:val="left" w:pos="5220"/>
              </w:tabs>
              <w:jc w:val="center"/>
              <w:rPr>
                <w:b/>
                <w:sz w:val="20"/>
                <w:szCs w:val="20"/>
              </w:rPr>
            </w:pPr>
            <w:r w:rsidRPr="00416BEC">
              <w:rPr>
                <w:b/>
                <w:sz w:val="20"/>
                <w:szCs w:val="20"/>
              </w:rPr>
              <w:t>NO</w:t>
            </w:r>
            <w:r w:rsidRPr="00416BEC">
              <w:rPr>
                <w:b/>
                <w:sz w:val="20"/>
                <w:szCs w:val="20"/>
                <w:vertAlign w:val="subscript"/>
              </w:rPr>
              <w:t>X</w:t>
            </w:r>
          </w:p>
        </w:tc>
        <w:tc>
          <w:tcPr>
            <w:tcW w:w="720" w:type="dxa"/>
            <w:shd w:val="clear" w:color="auto" w:fill="BFBFBF"/>
            <w:vAlign w:val="center"/>
          </w:tcPr>
          <w:p w14:paraId="47C2B743" w14:textId="77777777" w:rsidR="00055ED3" w:rsidRPr="00416BEC" w:rsidRDefault="00055ED3" w:rsidP="002108CF">
            <w:pPr>
              <w:tabs>
                <w:tab w:val="left" w:pos="5220"/>
              </w:tabs>
              <w:jc w:val="center"/>
              <w:rPr>
                <w:b/>
                <w:sz w:val="20"/>
                <w:szCs w:val="20"/>
              </w:rPr>
            </w:pPr>
            <w:r w:rsidRPr="00416BEC">
              <w:rPr>
                <w:b/>
                <w:sz w:val="20"/>
                <w:szCs w:val="20"/>
              </w:rPr>
              <w:t>CO</w:t>
            </w:r>
          </w:p>
        </w:tc>
        <w:tc>
          <w:tcPr>
            <w:tcW w:w="810" w:type="dxa"/>
            <w:shd w:val="clear" w:color="auto" w:fill="BFBFBF"/>
            <w:vAlign w:val="center"/>
          </w:tcPr>
          <w:p w14:paraId="13FD5990" w14:textId="77777777" w:rsidR="00055ED3" w:rsidRPr="00416BEC" w:rsidRDefault="00055ED3" w:rsidP="002108CF">
            <w:pPr>
              <w:tabs>
                <w:tab w:val="left" w:pos="5220"/>
              </w:tabs>
              <w:jc w:val="center"/>
              <w:rPr>
                <w:b/>
                <w:sz w:val="20"/>
                <w:szCs w:val="20"/>
              </w:rPr>
            </w:pPr>
            <w:r w:rsidRPr="00416BEC">
              <w:rPr>
                <w:b/>
                <w:sz w:val="20"/>
                <w:szCs w:val="20"/>
              </w:rPr>
              <w:t>VOC</w:t>
            </w:r>
            <w:r>
              <w:rPr>
                <w:b/>
                <w:sz w:val="20"/>
                <w:szCs w:val="20"/>
              </w:rPr>
              <w:t>s</w:t>
            </w:r>
          </w:p>
        </w:tc>
        <w:tc>
          <w:tcPr>
            <w:tcW w:w="810" w:type="dxa"/>
            <w:shd w:val="clear" w:color="auto" w:fill="BFBFBF"/>
            <w:vAlign w:val="center"/>
          </w:tcPr>
          <w:p w14:paraId="7961A314" w14:textId="77777777" w:rsidR="00055ED3" w:rsidRPr="00416BEC" w:rsidRDefault="00055ED3" w:rsidP="002108CF">
            <w:pPr>
              <w:tabs>
                <w:tab w:val="left" w:pos="5220"/>
              </w:tabs>
              <w:jc w:val="center"/>
              <w:rPr>
                <w:b/>
                <w:sz w:val="20"/>
                <w:szCs w:val="20"/>
              </w:rPr>
            </w:pPr>
            <w:r w:rsidRPr="00416BEC">
              <w:rPr>
                <w:b/>
                <w:sz w:val="20"/>
                <w:szCs w:val="20"/>
              </w:rPr>
              <w:t>Lead</w:t>
            </w:r>
          </w:p>
        </w:tc>
        <w:tc>
          <w:tcPr>
            <w:tcW w:w="990" w:type="dxa"/>
            <w:shd w:val="clear" w:color="auto" w:fill="BFBFBF"/>
            <w:vAlign w:val="center"/>
          </w:tcPr>
          <w:p w14:paraId="31BA3831" w14:textId="77777777" w:rsidR="00055ED3" w:rsidRPr="00416BEC" w:rsidRDefault="00055ED3" w:rsidP="002108CF">
            <w:pPr>
              <w:tabs>
                <w:tab w:val="left" w:pos="5220"/>
              </w:tabs>
              <w:jc w:val="center"/>
              <w:rPr>
                <w:b/>
                <w:sz w:val="20"/>
                <w:szCs w:val="20"/>
              </w:rPr>
            </w:pPr>
            <w:r>
              <w:rPr>
                <w:b/>
                <w:sz w:val="20"/>
                <w:szCs w:val="20"/>
              </w:rPr>
              <w:t>Ind. HAP</w:t>
            </w:r>
          </w:p>
        </w:tc>
        <w:tc>
          <w:tcPr>
            <w:tcW w:w="990" w:type="dxa"/>
            <w:shd w:val="clear" w:color="auto" w:fill="BFBFBF"/>
            <w:vAlign w:val="center"/>
          </w:tcPr>
          <w:p w14:paraId="500A8871" w14:textId="77777777" w:rsidR="00055ED3" w:rsidRPr="00416BEC" w:rsidRDefault="00055ED3" w:rsidP="002108CF">
            <w:pPr>
              <w:tabs>
                <w:tab w:val="left" w:pos="5220"/>
              </w:tabs>
              <w:jc w:val="center"/>
              <w:rPr>
                <w:b/>
                <w:sz w:val="20"/>
                <w:szCs w:val="20"/>
              </w:rPr>
            </w:pPr>
            <w:r w:rsidRPr="00416BEC">
              <w:rPr>
                <w:b/>
                <w:sz w:val="20"/>
                <w:szCs w:val="20"/>
              </w:rPr>
              <w:t>Total HAPs</w:t>
            </w:r>
          </w:p>
        </w:tc>
      </w:tr>
      <w:tr w:rsidR="00055ED3" w:rsidRPr="00DA2731" w14:paraId="59698CEB" w14:textId="77777777" w:rsidTr="00055ED3">
        <w:trPr>
          <w:trHeight w:val="593"/>
          <w:jc w:val="center"/>
        </w:trPr>
        <w:tc>
          <w:tcPr>
            <w:tcW w:w="2245" w:type="dxa"/>
            <w:vAlign w:val="center"/>
          </w:tcPr>
          <w:p w14:paraId="76AE1463" w14:textId="77777777" w:rsidR="00055ED3" w:rsidRPr="00416BEC" w:rsidRDefault="00055ED3" w:rsidP="002108CF">
            <w:pPr>
              <w:tabs>
                <w:tab w:val="left" w:pos="5220"/>
              </w:tabs>
              <w:jc w:val="center"/>
              <w:rPr>
                <w:sz w:val="20"/>
                <w:szCs w:val="20"/>
              </w:rPr>
            </w:pPr>
            <w:r>
              <w:rPr>
                <w:sz w:val="20"/>
                <w:szCs w:val="20"/>
              </w:rPr>
              <w:t>Maximum Uncontrolled Emissions</w:t>
            </w:r>
            <w:r w:rsidRPr="00416BEC">
              <w:rPr>
                <w:sz w:val="20"/>
                <w:szCs w:val="20"/>
              </w:rPr>
              <w:t xml:space="preserve"> (</w:t>
            </w:r>
            <w:proofErr w:type="spellStart"/>
            <w:r w:rsidRPr="00416BEC">
              <w:rPr>
                <w:sz w:val="20"/>
                <w:szCs w:val="20"/>
              </w:rPr>
              <w:t>tpy</w:t>
            </w:r>
            <w:proofErr w:type="spellEnd"/>
            <w:r w:rsidRPr="00416BEC">
              <w:rPr>
                <w:sz w:val="20"/>
                <w:szCs w:val="20"/>
              </w:rPr>
              <w:t>)</w:t>
            </w:r>
          </w:p>
        </w:tc>
        <w:tc>
          <w:tcPr>
            <w:tcW w:w="790" w:type="dxa"/>
            <w:vAlign w:val="center"/>
          </w:tcPr>
          <w:p w14:paraId="0F510890" w14:textId="77777777" w:rsidR="00055ED3" w:rsidRPr="009300AC" w:rsidRDefault="00AA2068" w:rsidP="002108CF">
            <w:pPr>
              <w:tabs>
                <w:tab w:val="left" w:pos="5220"/>
              </w:tabs>
              <w:jc w:val="center"/>
              <w:rPr>
                <w:bCs/>
                <w:sz w:val="20"/>
                <w:szCs w:val="20"/>
              </w:rPr>
            </w:pPr>
            <w:r>
              <w:rPr>
                <w:bCs/>
                <w:sz w:val="20"/>
                <w:szCs w:val="20"/>
              </w:rPr>
              <w:t>323.7</w:t>
            </w:r>
          </w:p>
        </w:tc>
        <w:tc>
          <w:tcPr>
            <w:tcW w:w="720" w:type="dxa"/>
            <w:vAlign w:val="center"/>
          </w:tcPr>
          <w:p w14:paraId="32C233B0" w14:textId="77777777" w:rsidR="00055ED3" w:rsidRPr="009300AC" w:rsidRDefault="00AA2068" w:rsidP="002108CF">
            <w:pPr>
              <w:tabs>
                <w:tab w:val="left" w:pos="5220"/>
              </w:tabs>
              <w:jc w:val="center"/>
              <w:rPr>
                <w:bCs/>
                <w:sz w:val="20"/>
                <w:szCs w:val="20"/>
              </w:rPr>
            </w:pPr>
            <w:r>
              <w:rPr>
                <w:bCs/>
                <w:sz w:val="20"/>
                <w:szCs w:val="20"/>
              </w:rPr>
              <w:t>323.7</w:t>
            </w:r>
          </w:p>
        </w:tc>
        <w:tc>
          <w:tcPr>
            <w:tcW w:w="720" w:type="dxa"/>
            <w:vAlign w:val="center"/>
          </w:tcPr>
          <w:p w14:paraId="5F45A354" w14:textId="77777777" w:rsidR="00055ED3" w:rsidRPr="009300AC" w:rsidRDefault="00AA2068" w:rsidP="002108CF">
            <w:pPr>
              <w:tabs>
                <w:tab w:val="left" w:pos="5220"/>
              </w:tabs>
              <w:jc w:val="center"/>
              <w:rPr>
                <w:bCs/>
                <w:sz w:val="20"/>
                <w:szCs w:val="20"/>
              </w:rPr>
            </w:pPr>
            <w:r>
              <w:rPr>
                <w:bCs/>
                <w:sz w:val="20"/>
                <w:szCs w:val="20"/>
              </w:rPr>
              <w:t>323.7</w:t>
            </w:r>
          </w:p>
        </w:tc>
        <w:tc>
          <w:tcPr>
            <w:tcW w:w="720" w:type="dxa"/>
            <w:vAlign w:val="center"/>
          </w:tcPr>
          <w:p w14:paraId="0D97B6CB" w14:textId="77777777" w:rsidR="00055ED3" w:rsidRPr="009300AC" w:rsidRDefault="00055ED3" w:rsidP="002108CF">
            <w:pPr>
              <w:tabs>
                <w:tab w:val="left" w:pos="5220"/>
              </w:tabs>
              <w:jc w:val="center"/>
              <w:rPr>
                <w:bCs/>
                <w:sz w:val="20"/>
                <w:szCs w:val="20"/>
              </w:rPr>
            </w:pPr>
            <w:r w:rsidRPr="009300AC">
              <w:rPr>
                <w:bCs/>
                <w:sz w:val="20"/>
                <w:szCs w:val="20"/>
              </w:rPr>
              <w:t>3.2</w:t>
            </w:r>
          </w:p>
        </w:tc>
        <w:tc>
          <w:tcPr>
            <w:tcW w:w="720" w:type="dxa"/>
            <w:vAlign w:val="center"/>
          </w:tcPr>
          <w:p w14:paraId="104C4518" w14:textId="77777777" w:rsidR="00055ED3" w:rsidRPr="009300AC" w:rsidRDefault="00055ED3" w:rsidP="002108CF">
            <w:pPr>
              <w:tabs>
                <w:tab w:val="left" w:pos="5220"/>
              </w:tabs>
              <w:jc w:val="center"/>
              <w:rPr>
                <w:bCs/>
                <w:sz w:val="20"/>
                <w:szCs w:val="20"/>
              </w:rPr>
            </w:pPr>
            <w:r w:rsidRPr="009300AC">
              <w:rPr>
                <w:bCs/>
                <w:sz w:val="20"/>
                <w:szCs w:val="20"/>
              </w:rPr>
              <w:t>15.5</w:t>
            </w:r>
          </w:p>
        </w:tc>
        <w:tc>
          <w:tcPr>
            <w:tcW w:w="720" w:type="dxa"/>
            <w:vAlign w:val="center"/>
          </w:tcPr>
          <w:p w14:paraId="590357CC" w14:textId="77777777" w:rsidR="00055ED3" w:rsidRPr="009300AC" w:rsidRDefault="00055ED3" w:rsidP="002108CF">
            <w:pPr>
              <w:tabs>
                <w:tab w:val="left" w:pos="5220"/>
              </w:tabs>
              <w:jc w:val="center"/>
              <w:rPr>
                <w:bCs/>
                <w:sz w:val="20"/>
                <w:szCs w:val="20"/>
              </w:rPr>
            </w:pPr>
            <w:r w:rsidRPr="009300AC">
              <w:rPr>
                <w:bCs/>
                <w:sz w:val="20"/>
                <w:szCs w:val="20"/>
              </w:rPr>
              <w:t>39.</w:t>
            </w:r>
            <w:r w:rsidR="00AA2068">
              <w:rPr>
                <w:bCs/>
                <w:sz w:val="20"/>
                <w:szCs w:val="20"/>
              </w:rPr>
              <w:t>4</w:t>
            </w:r>
          </w:p>
        </w:tc>
        <w:tc>
          <w:tcPr>
            <w:tcW w:w="810" w:type="dxa"/>
            <w:vAlign w:val="center"/>
          </w:tcPr>
          <w:p w14:paraId="704C2225" w14:textId="77777777" w:rsidR="00055ED3" w:rsidRPr="00D25E43" w:rsidRDefault="00AA2068" w:rsidP="002108CF">
            <w:pPr>
              <w:tabs>
                <w:tab w:val="left" w:pos="5220"/>
              </w:tabs>
              <w:jc w:val="center"/>
              <w:rPr>
                <w:bCs/>
                <w:sz w:val="20"/>
                <w:szCs w:val="20"/>
                <w:highlight w:val="yellow"/>
              </w:rPr>
            </w:pPr>
            <w:r w:rsidRPr="00AA2068">
              <w:rPr>
                <w:bCs/>
                <w:sz w:val="20"/>
                <w:szCs w:val="20"/>
              </w:rPr>
              <w:t>17.0</w:t>
            </w:r>
          </w:p>
        </w:tc>
        <w:tc>
          <w:tcPr>
            <w:tcW w:w="810" w:type="dxa"/>
            <w:vAlign w:val="center"/>
          </w:tcPr>
          <w:p w14:paraId="33C6DB01" w14:textId="77777777" w:rsidR="00055ED3" w:rsidRPr="00D25E43" w:rsidRDefault="00055ED3" w:rsidP="002108CF">
            <w:pPr>
              <w:tabs>
                <w:tab w:val="left" w:pos="5220"/>
              </w:tabs>
              <w:jc w:val="center"/>
              <w:rPr>
                <w:bCs/>
                <w:sz w:val="20"/>
                <w:szCs w:val="20"/>
                <w:highlight w:val="yellow"/>
              </w:rPr>
            </w:pPr>
            <w:r w:rsidRPr="009300AC">
              <w:rPr>
                <w:bCs/>
                <w:sz w:val="20"/>
                <w:szCs w:val="20"/>
              </w:rPr>
              <w:t>0</w:t>
            </w:r>
          </w:p>
        </w:tc>
        <w:tc>
          <w:tcPr>
            <w:tcW w:w="990" w:type="dxa"/>
            <w:vAlign w:val="center"/>
          </w:tcPr>
          <w:p w14:paraId="6ECC8F0D" w14:textId="77777777" w:rsidR="00055ED3" w:rsidRDefault="00587A37" w:rsidP="002108CF">
            <w:pPr>
              <w:tabs>
                <w:tab w:val="left" w:pos="5220"/>
              </w:tabs>
              <w:jc w:val="center"/>
              <w:rPr>
                <w:bCs/>
                <w:sz w:val="20"/>
                <w:szCs w:val="20"/>
              </w:rPr>
            </w:pPr>
            <w:r>
              <w:rPr>
                <w:bCs/>
                <w:sz w:val="20"/>
                <w:szCs w:val="20"/>
              </w:rPr>
              <w:t>-</w:t>
            </w:r>
          </w:p>
        </w:tc>
        <w:tc>
          <w:tcPr>
            <w:tcW w:w="990" w:type="dxa"/>
            <w:vAlign w:val="center"/>
          </w:tcPr>
          <w:p w14:paraId="3898CFD2" w14:textId="77777777" w:rsidR="00055ED3" w:rsidRPr="00416BEC" w:rsidRDefault="00C6317A" w:rsidP="002108CF">
            <w:pPr>
              <w:tabs>
                <w:tab w:val="left" w:pos="5220"/>
              </w:tabs>
              <w:jc w:val="center"/>
              <w:rPr>
                <w:bCs/>
                <w:sz w:val="20"/>
                <w:szCs w:val="20"/>
              </w:rPr>
            </w:pPr>
            <w:r>
              <w:rPr>
                <w:bCs/>
                <w:sz w:val="20"/>
                <w:szCs w:val="20"/>
              </w:rPr>
              <w:t>5.0</w:t>
            </w:r>
          </w:p>
        </w:tc>
      </w:tr>
      <w:tr w:rsidR="00055ED3" w:rsidRPr="00DA2731" w14:paraId="33B2971F" w14:textId="77777777" w:rsidTr="00055ED3">
        <w:trPr>
          <w:trHeight w:val="620"/>
          <w:jc w:val="center"/>
        </w:trPr>
        <w:tc>
          <w:tcPr>
            <w:tcW w:w="2245" w:type="dxa"/>
            <w:vAlign w:val="center"/>
          </w:tcPr>
          <w:p w14:paraId="41500736" w14:textId="77777777" w:rsidR="00055ED3" w:rsidRPr="00416BEC" w:rsidRDefault="00055ED3" w:rsidP="002108CF">
            <w:pPr>
              <w:tabs>
                <w:tab w:val="left" w:pos="5220"/>
              </w:tabs>
              <w:jc w:val="center"/>
              <w:rPr>
                <w:sz w:val="20"/>
                <w:szCs w:val="20"/>
              </w:rPr>
            </w:pPr>
            <w:r w:rsidRPr="00416BEC">
              <w:rPr>
                <w:sz w:val="20"/>
                <w:szCs w:val="20"/>
              </w:rPr>
              <w:t>Emission Limitations (</w:t>
            </w:r>
            <w:proofErr w:type="spellStart"/>
            <w:r w:rsidRPr="00416BEC">
              <w:rPr>
                <w:sz w:val="20"/>
                <w:szCs w:val="20"/>
              </w:rPr>
              <w:t>tpy</w:t>
            </w:r>
            <w:proofErr w:type="spellEnd"/>
            <w:r w:rsidRPr="00416BEC">
              <w:rPr>
                <w:sz w:val="20"/>
                <w:szCs w:val="20"/>
              </w:rPr>
              <w:t>)</w:t>
            </w:r>
          </w:p>
        </w:tc>
        <w:tc>
          <w:tcPr>
            <w:tcW w:w="790" w:type="dxa"/>
            <w:vAlign w:val="center"/>
          </w:tcPr>
          <w:p w14:paraId="3631756A" w14:textId="77777777" w:rsidR="00055ED3" w:rsidRPr="00416BEC" w:rsidRDefault="00055ED3" w:rsidP="002108CF">
            <w:pPr>
              <w:tabs>
                <w:tab w:val="left" w:pos="5220"/>
              </w:tabs>
              <w:jc w:val="center"/>
              <w:rPr>
                <w:b/>
                <w:sz w:val="20"/>
                <w:szCs w:val="20"/>
              </w:rPr>
            </w:pPr>
            <w:r>
              <w:rPr>
                <w:b/>
                <w:sz w:val="20"/>
                <w:szCs w:val="20"/>
              </w:rPr>
              <w:t>249.0</w:t>
            </w:r>
            <w:r w:rsidRPr="002F3D57">
              <w:rPr>
                <w:sz w:val="20"/>
                <w:szCs w:val="20"/>
                <w:vertAlign w:val="superscript"/>
              </w:rPr>
              <w:t>1</w:t>
            </w:r>
          </w:p>
        </w:tc>
        <w:tc>
          <w:tcPr>
            <w:tcW w:w="720" w:type="dxa"/>
            <w:vAlign w:val="center"/>
          </w:tcPr>
          <w:p w14:paraId="22723256" w14:textId="77777777" w:rsidR="00055ED3" w:rsidRPr="00416BEC" w:rsidRDefault="00055ED3" w:rsidP="002108CF">
            <w:pPr>
              <w:tabs>
                <w:tab w:val="left" w:pos="5220"/>
              </w:tabs>
              <w:jc w:val="center"/>
              <w:rPr>
                <w:b/>
                <w:sz w:val="20"/>
                <w:szCs w:val="20"/>
              </w:rPr>
            </w:pPr>
            <w:r>
              <w:rPr>
                <w:b/>
                <w:sz w:val="20"/>
                <w:szCs w:val="20"/>
              </w:rPr>
              <w:t>99.0</w:t>
            </w:r>
            <w:r w:rsidRPr="002F3D57">
              <w:rPr>
                <w:sz w:val="20"/>
                <w:szCs w:val="20"/>
                <w:vertAlign w:val="superscript"/>
              </w:rPr>
              <w:t>2</w:t>
            </w:r>
          </w:p>
        </w:tc>
        <w:tc>
          <w:tcPr>
            <w:tcW w:w="720" w:type="dxa"/>
            <w:vAlign w:val="center"/>
          </w:tcPr>
          <w:p w14:paraId="1201C405" w14:textId="77777777" w:rsidR="00055ED3" w:rsidRPr="00416BEC" w:rsidRDefault="00055ED3" w:rsidP="002108CF">
            <w:pPr>
              <w:tabs>
                <w:tab w:val="left" w:pos="5220"/>
              </w:tabs>
              <w:jc w:val="center"/>
              <w:rPr>
                <w:b/>
                <w:sz w:val="20"/>
                <w:szCs w:val="20"/>
              </w:rPr>
            </w:pPr>
            <w:r>
              <w:rPr>
                <w:b/>
                <w:sz w:val="20"/>
                <w:szCs w:val="20"/>
              </w:rPr>
              <w:t>99.0</w:t>
            </w:r>
            <w:r w:rsidRPr="002F3D57">
              <w:rPr>
                <w:sz w:val="20"/>
                <w:szCs w:val="20"/>
                <w:vertAlign w:val="superscript"/>
              </w:rPr>
              <w:t>2</w:t>
            </w:r>
          </w:p>
        </w:tc>
        <w:tc>
          <w:tcPr>
            <w:tcW w:w="720" w:type="dxa"/>
            <w:vAlign w:val="center"/>
          </w:tcPr>
          <w:p w14:paraId="68C99ED3" w14:textId="77777777" w:rsidR="00055ED3" w:rsidRPr="00416BEC" w:rsidRDefault="00055ED3" w:rsidP="002108CF">
            <w:pPr>
              <w:tabs>
                <w:tab w:val="left" w:pos="5220"/>
              </w:tabs>
              <w:jc w:val="center"/>
              <w:rPr>
                <w:sz w:val="20"/>
                <w:szCs w:val="20"/>
              </w:rPr>
            </w:pPr>
          </w:p>
        </w:tc>
        <w:tc>
          <w:tcPr>
            <w:tcW w:w="720" w:type="dxa"/>
            <w:vAlign w:val="center"/>
          </w:tcPr>
          <w:p w14:paraId="19DEE889" w14:textId="77777777" w:rsidR="00055ED3" w:rsidRPr="00416BEC" w:rsidRDefault="00055ED3" w:rsidP="002108CF">
            <w:pPr>
              <w:tabs>
                <w:tab w:val="left" w:pos="5220"/>
              </w:tabs>
              <w:jc w:val="center"/>
              <w:rPr>
                <w:sz w:val="20"/>
                <w:szCs w:val="20"/>
              </w:rPr>
            </w:pPr>
          </w:p>
        </w:tc>
        <w:tc>
          <w:tcPr>
            <w:tcW w:w="720" w:type="dxa"/>
            <w:vAlign w:val="center"/>
          </w:tcPr>
          <w:p w14:paraId="178B881E" w14:textId="77777777" w:rsidR="00055ED3" w:rsidRPr="00416BEC" w:rsidRDefault="00055ED3" w:rsidP="002108CF">
            <w:pPr>
              <w:tabs>
                <w:tab w:val="left" w:pos="5220"/>
              </w:tabs>
              <w:jc w:val="center"/>
              <w:rPr>
                <w:sz w:val="20"/>
                <w:szCs w:val="20"/>
              </w:rPr>
            </w:pPr>
          </w:p>
        </w:tc>
        <w:tc>
          <w:tcPr>
            <w:tcW w:w="810" w:type="dxa"/>
            <w:vAlign w:val="center"/>
          </w:tcPr>
          <w:p w14:paraId="5EF1B127" w14:textId="77777777" w:rsidR="00055ED3" w:rsidRPr="00D25E43" w:rsidRDefault="00055ED3" w:rsidP="002108CF">
            <w:pPr>
              <w:tabs>
                <w:tab w:val="left" w:pos="5220"/>
              </w:tabs>
              <w:jc w:val="center"/>
              <w:rPr>
                <w:b/>
                <w:bCs/>
                <w:sz w:val="20"/>
                <w:szCs w:val="20"/>
              </w:rPr>
            </w:pPr>
            <w:r w:rsidRPr="00D25E43">
              <w:rPr>
                <w:b/>
                <w:bCs/>
                <w:sz w:val="20"/>
                <w:szCs w:val="20"/>
              </w:rPr>
              <w:t>99.0</w:t>
            </w:r>
            <w:r w:rsidRPr="00D25E43">
              <w:rPr>
                <w:b/>
                <w:bCs/>
                <w:sz w:val="20"/>
                <w:szCs w:val="20"/>
                <w:vertAlign w:val="superscript"/>
              </w:rPr>
              <w:t>2</w:t>
            </w:r>
          </w:p>
        </w:tc>
        <w:tc>
          <w:tcPr>
            <w:tcW w:w="810" w:type="dxa"/>
            <w:vAlign w:val="center"/>
          </w:tcPr>
          <w:p w14:paraId="7925FF3B" w14:textId="77777777" w:rsidR="00055ED3" w:rsidRPr="00416BEC" w:rsidRDefault="00055ED3" w:rsidP="002108CF">
            <w:pPr>
              <w:tabs>
                <w:tab w:val="left" w:pos="5220"/>
              </w:tabs>
              <w:jc w:val="center"/>
              <w:rPr>
                <w:sz w:val="20"/>
                <w:szCs w:val="20"/>
              </w:rPr>
            </w:pPr>
          </w:p>
        </w:tc>
        <w:tc>
          <w:tcPr>
            <w:tcW w:w="990" w:type="dxa"/>
            <w:vAlign w:val="center"/>
          </w:tcPr>
          <w:p w14:paraId="41BD6103" w14:textId="77777777" w:rsidR="00055ED3" w:rsidRPr="00055ED3" w:rsidRDefault="00055ED3" w:rsidP="002108CF">
            <w:pPr>
              <w:tabs>
                <w:tab w:val="left" w:pos="5220"/>
              </w:tabs>
              <w:jc w:val="center"/>
              <w:rPr>
                <w:b/>
                <w:sz w:val="20"/>
                <w:szCs w:val="20"/>
                <w:vertAlign w:val="superscript"/>
              </w:rPr>
            </w:pPr>
            <w:r w:rsidRPr="00055ED3">
              <w:rPr>
                <w:b/>
                <w:sz w:val="20"/>
                <w:szCs w:val="20"/>
              </w:rPr>
              <w:t>9.9</w:t>
            </w:r>
            <w:r>
              <w:rPr>
                <w:b/>
                <w:sz w:val="20"/>
                <w:szCs w:val="20"/>
                <w:vertAlign w:val="superscript"/>
              </w:rPr>
              <w:t>2</w:t>
            </w:r>
          </w:p>
        </w:tc>
        <w:tc>
          <w:tcPr>
            <w:tcW w:w="990" w:type="dxa"/>
            <w:vAlign w:val="center"/>
          </w:tcPr>
          <w:p w14:paraId="193F7D32" w14:textId="77777777" w:rsidR="00055ED3" w:rsidRPr="00055ED3" w:rsidRDefault="00055ED3" w:rsidP="002108CF">
            <w:pPr>
              <w:tabs>
                <w:tab w:val="left" w:pos="5220"/>
              </w:tabs>
              <w:jc w:val="center"/>
              <w:rPr>
                <w:b/>
                <w:sz w:val="20"/>
                <w:szCs w:val="20"/>
                <w:vertAlign w:val="superscript"/>
              </w:rPr>
            </w:pPr>
            <w:r>
              <w:rPr>
                <w:b/>
                <w:sz w:val="20"/>
                <w:szCs w:val="20"/>
              </w:rPr>
              <w:t>24.9</w:t>
            </w:r>
            <w:r>
              <w:rPr>
                <w:b/>
                <w:sz w:val="20"/>
                <w:szCs w:val="20"/>
                <w:vertAlign w:val="superscript"/>
              </w:rPr>
              <w:t>2</w:t>
            </w:r>
          </w:p>
        </w:tc>
      </w:tr>
    </w:tbl>
    <w:bookmarkEnd w:id="0"/>
    <w:p w14:paraId="655C3D54" w14:textId="77777777" w:rsidR="00D25E43" w:rsidRPr="002F3D57" w:rsidRDefault="00D25E43" w:rsidP="00D25E43">
      <w:pPr>
        <w:pStyle w:val="Title"/>
        <w:jc w:val="left"/>
        <w:rPr>
          <w:rFonts w:ascii="Tms Rmn" w:hAnsi="Tms Rmn" w:cs="Tms Rmn"/>
          <w:b w:val="0"/>
          <w:color w:val="000000"/>
          <w:sz w:val="20"/>
          <w:szCs w:val="20"/>
        </w:rPr>
      </w:pPr>
      <w:r w:rsidRPr="002F3D57">
        <w:rPr>
          <w:rFonts w:ascii="Tms Rmn" w:hAnsi="Tms Rmn" w:cs="Tms Rmn"/>
          <w:b w:val="0"/>
          <w:color w:val="000000"/>
          <w:sz w:val="20"/>
          <w:szCs w:val="20"/>
          <w:vertAlign w:val="superscript"/>
        </w:rPr>
        <w:t>1</w:t>
      </w:r>
      <w:r w:rsidRPr="002F3D57">
        <w:rPr>
          <w:rFonts w:ascii="Tms Rmn" w:hAnsi="Tms Rmn" w:cs="Tms Rmn"/>
          <w:b w:val="0"/>
          <w:color w:val="000000"/>
          <w:sz w:val="20"/>
          <w:szCs w:val="20"/>
        </w:rPr>
        <w:t xml:space="preserve"> </w:t>
      </w:r>
      <w:r>
        <w:rPr>
          <w:rFonts w:ascii="Tms Rmn" w:hAnsi="Tms Rmn" w:cs="Tms Rmn"/>
          <w:b w:val="0"/>
          <w:color w:val="000000"/>
          <w:sz w:val="20"/>
          <w:szCs w:val="20"/>
        </w:rPr>
        <w:t>PSD Major Source</w:t>
      </w:r>
      <w:r w:rsidRPr="002F3D57">
        <w:rPr>
          <w:rFonts w:ascii="Tms Rmn" w:hAnsi="Tms Rmn" w:cs="Tms Rmn"/>
          <w:b w:val="0"/>
          <w:color w:val="000000"/>
          <w:sz w:val="20"/>
          <w:szCs w:val="20"/>
        </w:rPr>
        <w:t xml:space="preserve"> Avoidance Limit</w:t>
      </w:r>
    </w:p>
    <w:p w14:paraId="1EA99AC8" w14:textId="77777777" w:rsidR="00D25E43" w:rsidRDefault="00D25E43" w:rsidP="00D25E43">
      <w:pPr>
        <w:pStyle w:val="Title"/>
        <w:jc w:val="left"/>
        <w:rPr>
          <w:rFonts w:ascii="Tms Rmn" w:hAnsi="Tms Rmn" w:cs="Tms Rmn"/>
          <w:b w:val="0"/>
          <w:color w:val="000000"/>
          <w:sz w:val="20"/>
          <w:szCs w:val="20"/>
        </w:rPr>
      </w:pPr>
      <w:r w:rsidRPr="002F3D57">
        <w:rPr>
          <w:rFonts w:ascii="Tms Rmn" w:hAnsi="Tms Rmn" w:cs="Tms Rmn"/>
          <w:b w:val="0"/>
          <w:color w:val="000000"/>
          <w:sz w:val="20"/>
          <w:szCs w:val="20"/>
          <w:vertAlign w:val="superscript"/>
        </w:rPr>
        <w:t>2</w:t>
      </w:r>
      <w:r w:rsidRPr="002F3D57">
        <w:rPr>
          <w:rFonts w:ascii="Tms Rmn" w:hAnsi="Tms Rmn" w:cs="Tms Rmn"/>
          <w:b w:val="0"/>
          <w:color w:val="000000"/>
          <w:sz w:val="20"/>
          <w:szCs w:val="20"/>
        </w:rPr>
        <w:t xml:space="preserve"> Title V </w:t>
      </w:r>
      <w:r>
        <w:rPr>
          <w:rFonts w:ascii="Tms Rmn" w:hAnsi="Tms Rmn" w:cs="Tms Rmn"/>
          <w:b w:val="0"/>
          <w:color w:val="000000"/>
          <w:sz w:val="20"/>
          <w:szCs w:val="20"/>
        </w:rPr>
        <w:t xml:space="preserve">Major Source </w:t>
      </w:r>
      <w:r w:rsidRPr="002F3D57">
        <w:rPr>
          <w:rFonts w:ascii="Tms Rmn" w:hAnsi="Tms Rmn" w:cs="Tms Rmn"/>
          <w:b w:val="0"/>
          <w:color w:val="000000"/>
          <w:sz w:val="20"/>
          <w:szCs w:val="20"/>
        </w:rPr>
        <w:t>Avoidance Limit</w:t>
      </w:r>
    </w:p>
    <w:p w14:paraId="6BA3A745" w14:textId="77777777" w:rsidR="00694EB5" w:rsidRDefault="00694EB5" w:rsidP="00D25E43">
      <w:pPr>
        <w:pStyle w:val="Title"/>
        <w:jc w:val="left"/>
        <w:rPr>
          <w:rFonts w:ascii="Tms Rmn" w:hAnsi="Tms Rmn" w:cs="Tms Rmn"/>
          <w:b w:val="0"/>
          <w:color w:val="000000"/>
          <w:sz w:val="20"/>
          <w:szCs w:val="20"/>
        </w:rPr>
      </w:pPr>
    </w:p>
    <w:p w14:paraId="00550040" w14:textId="40A2818A" w:rsidR="00694EB5" w:rsidRDefault="00694EB5" w:rsidP="00694EB5">
      <w:pPr>
        <w:pStyle w:val="Title"/>
        <w:jc w:val="both"/>
        <w:rPr>
          <w:b w:val="0"/>
          <w:bCs w:val="0"/>
        </w:rPr>
      </w:pPr>
      <w:r>
        <w:rPr>
          <w:b w:val="0"/>
          <w:bCs w:val="0"/>
        </w:rPr>
        <w:t>Based on its maximum production capability, the facility has the potential to emit PM</w:t>
      </w:r>
      <w:r w:rsidRPr="000C69BD">
        <w:rPr>
          <w:b w:val="0"/>
          <w:bCs w:val="0"/>
          <w:vertAlign w:val="subscript"/>
        </w:rPr>
        <w:t>10</w:t>
      </w:r>
      <w:r>
        <w:rPr>
          <w:b w:val="0"/>
          <w:bCs w:val="0"/>
        </w:rPr>
        <w:t xml:space="preserve"> and PM</w:t>
      </w:r>
      <w:r w:rsidRPr="000C69BD">
        <w:rPr>
          <w:b w:val="0"/>
          <w:bCs w:val="0"/>
          <w:vertAlign w:val="subscript"/>
        </w:rPr>
        <w:t>2.5</w:t>
      </w:r>
      <w:r>
        <w:rPr>
          <w:b w:val="0"/>
          <w:bCs w:val="0"/>
        </w:rPr>
        <w:t xml:space="preserve"> in excess of the applicable </w:t>
      </w:r>
      <w:r w:rsidR="00595EF0">
        <w:rPr>
          <w:b w:val="0"/>
          <w:bCs w:val="0"/>
        </w:rPr>
        <w:t xml:space="preserve">Title V major source threshold (100 </w:t>
      </w:r>
      <w:proofErr w:type="spellStart"/>
      <w:r w:rsidR="00595EF0">
        <w:rPr>
          <w:b w:val="0"/>
          <w:bCs w:val="0"/>
        </w:rPr>
        <w:t>tpy</w:t>
      </w:r>
      <w:proofErr w:type="spellEnd"/>
      <w:r w:rsidR="00595EF0">
        <w:rPr>
          <w:b w:val="0"/>
          <w:bCs w:val="0"/>
        </w:rPr>
        <w:t xml:space="preserve">). </w:t>
      </w:r>
      <w:r w:rsidR="004B0B02">
        <w:rPr>
          <w:b w:val="0"/>
          <w:bCs w:val="0"/>
        </w:rPr>
        <w:t xml:space="preserve"> </w:t>
      </w:r>
      <w:r>
        <w:rPr>
          <w:b w:val="0"/>
          <w:bCs w:val="0"/>
        </w:rPr>
        <w:t>Therefore, in order to be classified as a synthetic minor source, the facility will maintain the noted emission limitations through operational restrictions.</w:t>
      </w:r>
      <w:r w:rsidR="00587A37">
        <w:rPr>
          <w:b w:val="0"/>
          <w:bCs w:val="0"/>
        </w:rPr>
        <w:t xml:space="preserve"> </w:t>
      </w:r>
      <w:r w:rsidR="004B0B02">
        <w:rPr>
          <w:b w:val="0"/>
          <w:bCs w:val="0"/>
        </w:rPr>
        <w:t xml:space="preserve"> </w:t>
      </w:r>
      <w:r w:rsidR="00587A37">
        <w:rPr>
          <w:b w:val="0"/>
          <w:bCs w:val="0"/>
        </w:rPr>
        <w:t xml:space="preserve">Currently, the facility </w:t>
      </w:r>
      <w:r w:rsidR="004B0B02">
        <w:rPr>
          <w:b w:val="0"/>
          <w:bCs w:val="0"/>
        </w:rPr>
        <w:t xml:space="preserve">only </w:t>
      </w:r>
      <w:r w:rsidR="00587A37">
        <w:rPr>
          <w:b w:val="0"/>
          <w:bCs w:val="0"/>
        </w:rPr>
        <w:t>dries hardwood and the potential to emit VOC</w:t>
      </w:r>
      <w:r w:rsidR="00CB703A">
        <w:rPr>
          <w:b w:val="0"/>
          <w:bCs w:val="0"/>
        </w:rPr>
        <w:t>s</w:t>
      </w:r>
      <w:r w:rsidR="00587A37">
        <w:rPr>
          <w:b w:val="0"/>
          <w:bCs w:val="0"/>
        </w:rPr>
        <w:t xml:space="preserve"> and HAP</w:t>
      </w:r>
      <w:r w:rsidR="00CB703A">
        <w:rPr>
          <w:b w:val="0"/>
          <w:bCs w:val="0"/>
        </w:rPr>
        <w:t>s</w:t>
      </w:r>
      <w:r w:rsidR="00587A37">
        <w:rPr>
          <w:b w:val="0"/>
          <w:bCs w:val="0"/>
        </w:rPr>
        <w:t xml:space="preserve"> </w:t>
      </w:r>
      <w:r w:rsidR="00CB703A">
        <w:rPr>
          <w:b w:val="0"/>
          <w:bCs w:val="0"/>
        </w:rPr>
        <w:t>is</w:t>
      </w:r>
      <w:r w:rsidR="00587A37">
        <w:rPr>
          <w:b w:val="0"/>
          <w:bCs w:val="0"/>
        </w:rPr>
        <w:t xml:space="preserve"> well below the </w:t>
      </w:r>
      <w:r w:rsidR="004B0B02">
        <w:rPr>
          <w:b w:val="0"/>
          <w:bCs w:val="0"/>
        </w:rPr>
        <w:t xml:space="preserve">applicable Title V </w:t>
      </w:r>
      <w:r w:rsidR="00587A37">
        <w:rPr>
          <w:b w:val="0"/>
          <w:bCs w:val="0"/>
        </w:rPr>
        <w:t xml:space="preserve">major source thresholds. </w:t>
      </w:r>
      <w:r w:rsidR="004B0B02">
        <w:rPr>
          <w:b w:val="0"/>
          <w:bCs w:val="0"/>
        </w:rPr>
        <w:t xml:space="preserve"> </w:t>
      </w:r>
      <w:r w:rsidR="00587A37">
        <w:rPr>
          <w:b w:val="0"/>
          <w:bCs w:val="0"/>
        </w:rPr>
        <w:t xml:space="preserve">However, if the facility </w:t>
      </w:r>
      <w:r w:rsidR="00424921">
        <w:rPr>
          <w:b w:val="0"/>
          <w:bCs w:val="0"/>
        </w:rPr>
        <w:t xml:space="preserve">ever </w:t>
      </w:r>
      <w:r w:rsidR="00587A37">
        <w:rPr>
          <w:b w:val="0"/>
          <w:bCs w:val="0"/>
        </w:rPr>
        <w:t xml:space="preserve">chooses to dry softwood, </w:t>
      </w:r>
      <w:r w:rsidR="00424921">
        <w:rPr>
          <w:b w:val="0"/>
          <w:bCs w:val="0"/>
        </w:rPr>
        <w:t xml:space="preserve">VOC and HAP </w:t>
      </w:r>
      <w:r w:rsidR="00587A37">
        <w:rPr>
          <w:b w:val="0"/>
          <w:bCs w:val="0"/>
        </w:rPr>
        <w:t xml:space="preserve">emissions </w:t>
      </w:r>
      <w:r w:rsidR="00424921">
        <w:rPr>
          <w:b w:val="0"/>
          <w:bCs w:val="0"/>
        </w:rPr>
        <w:t xml:space="preserve">could </w:t>
      </w:r>
      <w:r w:rsidR="00CB703A">
        <w:rPr>
          <w:b w:val="0"/>
          <w:bCs w:val="0"/>
        </w:rPr>
        <w:t xml:space="preserve">increase significantly and </w:t>
      </w:r>
      <w:r w:rsidR="00424921">
        <w:rPr>
          <w:b w:val="0"/>
          <w:bCs w:val="0"/>
        </w:rPr>
        <w:t xml:space="preserve">potentially </w:t>
      </w:r>
      <w:r w:rsidR="00CB703A">
        <w:rPr>
          <w:b w:val="0"/>
          <w:bCs w:val="0"/>
        </w:rPr>
        <w:t>exceed those thresholds</w:t>
      </w:r>
      <w:r w:rsidR="00424921">
        <w:rPr>
          <w:b w:val="0"/>
          <w:bCs w:val="0"/>
        </w:rPr>
        <w:t>.  Therefore, VOC emissions and HAP emissions (both individual and combined total) will be limited to ensure that the facility will remain a synthetic minor source despite any future operational flexibility (i.e. drying softwood).</w:t>
      </w:r>
    </w:p>
    <w:p w14:paraId="57F7463B" w14:textId="77777777" w:rsidR="00694EB5" w:rsidRPr="002F3D57" w:rsidRDefault="00694EB5" w:rsidP="00D25E43">
      <w:pPr>
        <w:pStyle w:val="Title"/>
        <w:jc w:val="left"/>
        <w:rPr>
          <w:rFonts w:ascii="Tms Rmn" w:hAnsi="Tms Rmn" w:cs="Tms Rmn"/>
          <w:color w:val="000000"/>
          <w:sz w:val="20"/>
          <w:szCs w:val="20"/>
          <w:u w:val="single"/>
        </w:rPr>
      </w:pPr>
    </w:p>
    <w:p w14:paraId="444E1B01" w14:textId="77777777" w:rsidR="001D7E96" w:rsidRDefault="001D7E96" w:rsidP="001D7E96">
      <w:pPr>
        <w:pStyle w:val="Title"/>
        <w:jc w:val="left"/>
        <w:rPr>
          <w:rFonts w:ascii="Tms Rmn" w:hAnsi="Tms Rmn" w:cs="Tms Rmn"/>
          <w:color w:val="000000"/>
          <w:u w:val="single"/>
        </w:rPr>
      </w:pPr>
      <w:r>
        <w:rPr>
          <w:rFonts w:ascii="Tms Rmn" w:hAnsi="Tms Rmn" w:cs="Tms Rmn"/>
          <w:color w:val="000000"/>
          <w:u w:val="single"/>
        </w:rPr>
        <w:t>APPLICABLE/PROPOSED PERMIT LIMITATIONS</w:t>
      </w:r>
    </w:p>
    <w:p w14:paraId="036EC7DD" w14:textId="77777777" w:rsidR="007647A3" w:rsidRDefault="007647A3" w:rsidP="001D7E96">
      <w:pPr>
        <w:pStyle w:val="Title"/>
        <w:jc w:val="left"/>
        <w:rPr>
          <w:u w:val="single"/>
        </w:rPr>
      </w:pPr>
    </w:p>
    <w:p w14:paraId="4BF61C3C" w14:textId="77777777" w:rsidR="00CB703A" w:rsidRPr="00CB703A" w:rsidRDefault="00CB703A" w:rsidP="002538BF">
      <w:pPr>
        <w:pStyle w:val="Title"/>
        <w:numPr>
          <w:ilvl w:val="0"/>
          <w:numId w:val="13"/>
        </w:numPr>
        <w:spacing w:after="60"/>
        <w:ind w:left="360"/>
        <w:jc w:val="both"/>
        <w:rPr>
          <w:b w:val="0"/>
          <w:bCs w:val="0"/>
        </w:rPr>
      </w:pPr>
      <w:r w:rsidRPr="00CB703A">
        <w:rPr>
          <w:b w:val="0"/>
        </w:rPr>
        <w:t xml:space="preserve">249.0 </w:t>
      </w:r>
      <w:proofErr w:type="spellStart"/>
      <w:r w:rsidRPr="00CB703A">
        <w:rPr>
          <w:b w:val="0"/>
        </w:rPr>
        <w:t>tpy</w:t>
      </w:r>
      <w:proofErr w:type="spellEnd"/>
      <w:r>
        <w:rPr>
          <w:b w:val="0"/>
        </w:rPr>
        <w:t xml:space="preserve"> particulate matter </w:t>
      </w:r>
      <w:r w:rsidRPr="00CB703A">
        <w:rPr>
          <w:b w:val="0"/>
        </w:rPr>
        <w:t>(PM; filterable only)</w:t>
      </w:r>
    </w:p>
    <w:p w14:paraId="3BA6176B" w14:textId="37D010C2" w:rsidR="00CB703A" w:rsidRPr="00CB703A" w:rsidRDefault="00CB703A" w:rsidP="002538BF">
      <w:pPr>
        <w:pStyle w:val="Title"/>
        <w:numPr>
          <w:ilvl w:val="0"/>
          <w:numId w:val="13"/>
        </w:numPr>
        <w:spacing w:after="60"/>
        <w:ind w:left="360"/>
        <w:jc w:val="both"/>
        <w:rPr>
          <w:b w:val="0"/>
          <w:bCs w:val="0"/>
        </w:rPr>
      </w:pPr>
      <w:r>
        <w:rPr>
          <w:b w:val="0"/>
          <w:bCs w:val="0"/>
        </w:rPr>
        <w:t xml:space="preserve">99.0 </w:t>
      </w:r>
      <w:proofErr w:type="spellStart"/>
      <w:r>
        <w:rPr>
          <w:b w:val="0"/>
          <w:bCs w:val="0"/>
        </w:rPr>
        <w:t>tpy</w:t>
      </w:r>
      <w:proofErr w:type="spellEnd"/>
      <w:r>
        <w:rPr>
          <w:b w:val="0"/>
          <w:bCs w:val="0"/>
        </w:rPr>
        <w:t xml:space="preserve"> </w:t>
      </w:r>
      <w:r w:rsidRPr="00CB703A">
        <w:rPr>
          <w:b w:val="0"/>
          <w:bCs w:val="0"/>
        </w:rPr>
        <w:t>particulate matter less than 10 µm in diameter (PM</w:t>
      </w:r>
      <w:r w:rsidRPr="0093005B">
        <w:rPr>
          <w:b w:val="0"/>
          <w:bCs w:val="0"/>
          <w:vertAlign w:val="subscript"/>
        </w:rPr>
        <w:t>10</w:t>
      </w:r>
      <w:r w:rsidRPr="00CB703A">
        <w:rPr>
          <w:b w:val="0"/>
          <w:bCs w:val="0"/>
        </w:rPr>
        <w:t>; filterable + condensable)</w:t>
      </w:r>
    </w:p>
    <w:p w14:paraId="6DDD33BE" w14:textId="77777777" w:rsidR="00CB703A" w:rsidRPr="00CB703A" w:rsidRDefault="00CB703A" w:rsidP="002538BF">
      <w:pPr>
        <w:pStyle w:val="Title"/>
        <w:numPr>
          <w:ilvl w:val="0"/>
          <w:numId w:val="13"/>
        </w:numPr>
        <w:spacing w:after="60"/>
        <w:ind w:left="360"/>
        <w:jc w:val="both"/>
        <w:rPr>
          <w:b w:val="0"/>
          <w:bCs w:val="0"/>
        </w:rPr>
      </w:pPr>
      <w:r>
        <w:rPr>
          <w:b w:val="0"/>
          <w:bCs w:val="0"/>
        </w:rPr>
        <w:t xml:space="preserve">99.0 </w:t>
      </w:r>
      <w:proofErr w:type="spellStart"/>
      <w:r>
        <w:rPr>
          <w:b w:val="0"/>
          <w:bCs w:val="0"/>
        </w:rPr>
        <w:t>tpy</w:t>
      </w:r>
      <w:proofErr w:type="spellEnd"/>
      <w:r>
        <w:rPr>
          <w:b w:val="0"/>
          <w:bCs w:val="0"/>
        </w:rPr>
        <w:t xml:space="preserve"> </w:t>
      </w:r>
      <w:r w:rsidRPr="00CB703A">
        <w:rPr>
          <w:b w:val="0"/>
          <w:bCs w:val="0"/>
        </w:rPr>
        <w:t>particulate matter less than 2.5 µm in diameter (PM</w:t>
      </w:r>
      <w:r w:rsidRPr="0093005B">
        <w:rPr>
          <w:b w:val="0"/>
          <w:bCs w:val="0"/>
          <w:vertAlign w:val="subscript"/>
        </w:rPr>
        <w:t>2.5</w:t>
      </w:r>
      <w:r w:rsidRPr="00CB703A">
        <w:rPr>
          <w:b w:val="0"/>
          <w:bCs w:val="0"/>
        </w:rPr>
        <w:t>; filterable + condensable)</w:t>
      </w:r>
    </w:p>
    <w:p w14:paraId="5A16F1FD" w14:textId="77777777" w:rsidR="00C82173" w:rsidRPr="0093005B" w:rsidRDefault="009F4EB2" w:rsidP="002538BF">
      <w:pPr>
        <w:pStyle w:val="Title"/>
        <w:numPr>
          <w:ilvl w:val="0"/>
          <w:numId w:val="13"/>
        </w:numPr>
        <w:spacing w:after="60"/>
        <w:ind w:left="360"/>
        <w:jc w:val="both"/>
        <w:rPr>
          <w:b w:val="0"/>
          <w:bCs w:val="0"/>
        </w:rPr>
      </w:pPr>
      <w:r w:rsidRPr="00CB703A">
        <w:rPr>
          <w:b w:val="0"/>
        </w:rPr>
        <w:t xml:space="preserve">99.0 </w:t>
      </w:r>
      <w:proofErr w:type="spellStart"/>
      <w:r w:rsidR="00CB703A">
        <w:rPr>
          <w:b w:val="0"/>
        </w:rPr>
        <w:t>tpy</w:t>
      </w:r>
      <w:proofErr w:type="spellEnd"/>
      <w:r w:rsidRPr="00CB703A">
        <w:rPr>
          <w:b w:val="0"/>
        </w:rPr>
        <w:t xml:space="preserve"> volatile organic compounds (VOCs) (Title V Avoidance Limit) </w:t>
      </w:r>
    </w:p>
    <w:p w14:paraId="3D4E5B64" w14:textId="3177B6BA" w:rsidR="002538BF" w:rsidRPr="002538BF" w:rsidRDefault="0093005B" w:rsidP="002538BF">
      <w:pPr>
        <w:pStyle w:val="Title"/>
        <w:numPr>
          <w:ilvl w:val="0"/>
          <w:numId w:val="13"/>
        </w:numPr>
        <w:spacing w:after="60"/>
        <w:ind w:left="360"/>
        <w:jc w:val="both"/>
        <w:rPr>
          <w:b w:val="0"/>
          <w:bCs w:val="0"/>
        </w:rPr>
      </w:pPr>
      <w:r>
        <w:rPr>
          <w:b w:val="0"/>
        </w:rPr>
        <w:t xml:space="preserve">9.9 </w:t>
      </w:r>
      <w:proofErr w:type="spellStart"/>
      <w:r>
        <w:rPr>
          <w:b w:val="0"/>
        </w:rPr>
        <w:t>tpy</w:t>
      </w:r>
      <w:proofErr w:type="spellEnd"/>
      <w:r>
        <w:rPr>
          <w:b w:val="0"/>
        </w:rPr>
        <w:t xml:space="preserve">/ </w:t>
      </w:r>
      <w:r w:rsidR="002538BF">
        <w:rPr>
          <w:b w:val="0"/>
        </w:rPr>
        <w:t xml:space="preserve">for </w:t>
      </w:r>
      <w:r>
        <w:rPr>
          <w:b w:val="0"/>
        </w:rPr>
        <w:t xml:space="preserve">each hazardous air pollutant (HAP) </w:t>
      </w:r>
      <w:r w:rsidR="002538BF">
        <w:rPr>
          <w:b w:val="0"/>
        </w:rPr>
        <w:t>(Title V Avoidance Limit)</w:t>
      </w:r>
    </w:p>
    <w:p w14:paraId="0214D510" w14:textId="58A9B863" w:rsidR="0093005B" w:rsidRPr="00CB703A" w:rsidRDefault="002538BF" w:rsidP="00424921">
      <w:pPr>
        <w:pStyle w:val="Title"/>
        <w:numPr>
          <w:ilvl w:val="0"/>
          <w:numId w:val="13"/>
        </w:numPr>
        <w:ind w:left="360"/>
        <w:jc w:val="both"/>
        <w:rPr>
          <w:b w:val="0"/>
          <w:bCs w:val="0"/>
        </w:rPr>
      </w:pPr>
      <w:r w:rsidRPr="002538BF">
        <w:rPr>
          <w:b w:val="0"/>
        </w:rPr>
        <w:t xml:space="preserve">24.9 </w:t>
      </w:r>
      <w:proofErr w:type="spellStart"/>
      <w:r w:rsidRPr="002538BF">
        <w:rPr>
          <w:b w:val="0"/>
        </w:rPr>
        <w:t>tpy</w:t>
      </w:r>
      <w:proofErr w:type="spellEnd"/>
      <w:r>
        <w:rPr>
          <w:b w:val="0"/>
        </w:rPr>
        <w:t xml:space="preserve"> for all HAPs combined (Title V Avoidance Limit)</w:t>
      </w:r>
    </w:p>
    <w:p w14:paraId="5A3982C5" w14:textId="77777777" w:rsidR="00884CB2" w:rsidRDefault="00884CB2" w:rsidP="001D7E96">
      <w:pPr>
        <w:pStyle w:val="Title"/>
        <w:jc w:val="both"/>
        <w:rPr>
          <w:b w:val="0"/>
          <w:bCs w:val="0"/>
        </w:rPr>
      </w:pPr>
      <w:bookmarkStart w:id="1" w:name="_GoBack"/>
      <w:bookmarkEnd w:id="1"/>
    </w:p>
    <w:p w14:paraId="300EE741" w14:textId="47B6CA73" w:rsidR="001D7E96" w:rsidRDefault="001D7E96" w:rsidP="001D7E96">
      <w:pPr>
        <w:pStyle w:val="Title"/>
        <w:jc w:val="both"/>
        <w:rPr>
          <w:u w:val="single"/>
        </w:rPr>
      </w:pPr>
      <w:r>
        <w:rPr>
          <w:u w:val="single"/>
        </w:rPr>
        <w:t>NSPS APPLICABILITY</w:t>
      </w:r>
    </w:p>
    <w:p w14:paraId="46CA76C3" w14:textId="77777777" w:rsidR="00610D56" w:rsidRDefault="00610D56" w:rsidP="008834A1">
      <w:pPr>
        <w:rPr>
          <w:b/>
        </w:rPr>
      </w:pPr>
    </w:p>
    <w:p w14:paraId="603B01FC" w14:textId="77777777" w:rsidR="008834A1" w:rsidRPr="00C37873" w:rsidRDefault="008834A1" w:rsidP="00D93D37">
      <w:pPr>
        <w:rPr>
          <w:b/>
        </w:rPr>
      </w:pPr>
      <w:r w:rsidRPr="00C37873">
        <w:rPr>
          <w:b/>
        </w:rPr>
        <w:t>40 CFR 60 Subpart Dc, New Source Performance Standards for Small Industrial-Commercial-Institutional Steam Generating Units</w:t>
      </w:r>
    </w:p>
    <w:p w14:paraId="6127883C" w14:textId="45AEF495" w:rsidR="008834A1" w:rsidRDefault="008834A1" w:rsidP="008834A1">
      <w:pPr>
        <w:jc w:val="both"/>
      </w:pPr>
      <w:r w:rsidRPr="00C37873">
        <w:t>T</w:t>
      </w:r>
      <w:r w:rsidR="00C37873" w:rsidRPr="00C37873">
        <w:t xml:space="preserve">he facility’s wood-fired boiler, Emission Point AA-012, is </w:t>
      </w:r>
      <w:r w:rsidRPr="00C37873">
        <w:t>subject to the requirements o</w:t>
      </w:r>
      <w:r w:rsidR="00C37873" w:rsidRPr="00C37873">
        <w:t>f this subpart because it was</w:t>
      </w:r>
      <w:r w:rsidRPr="00C37873">
        <w:t xml:space="preserve"> constru</w:t>
      </w:r>
      <w:r w:rsidR="00C37873" w:rsidRPr="00C37873">
        <w:t>cted after June 9, 1989 and has</w:t>
      </w:r>
      <w:r w:rsidRPr="00C37873">
        <w:t xml:space="preserve"> a heat input capacity ≥ 10 MMBTU / hour but &lt; 100 MMBTU / hour.  </w:t>
      </w:r>
      <w:r w:rsidR="00C37873" w:rsidRPr="00C37873">
        <w:t>Since the</w:t>
      </w:r>
      <w:r w:rsidRPr="00C37873">
        <w:t xml:space="preserve"> boiler uses wood as the primary fuel source and has </w:t>
      </w:r>
      <w:r w:rsidR="00C37873" w:rsidRPr="00C37873">
        <w:t xml:space="preserve">a </w:t>
      </w:r>
      <w:r w:rsidRPr="00C37873">
        <w:lastRenderedPageBreak/>
        <w:t xml:space="preserve">heat input capacity &lt; 30 MMBTU / hour, the facility is only required to monitor </w:t>
      </w:r>
      <w:r w:rsidR="00C37873" w:rsidRPr="00C37873">
        <w:t>the fuel usage of the boiler</w:t>
      </w:r>
      <w:r w:rsidRPr="00C37873">
        <w:t>.</w:t>
      </w:r>
    </w:p>
    <w:p w14:paraId="1F2B24FE" w14:textId="77777777" w:rsidR="00DA4E91" w:rsidRDefault="00DA4E91" w:rsidP="00C37873">
      <w:pPr>
        <w:pStyle w:val="Title"/>
        <w:jc w:val="both"/>
      </w:pPr>
    </w:p>
    <w:p w14:paraId="5536ED7A" w14:textId="77777777" w:rsidR="00C37873" w:rsidRDefault="00C37873" w:rsidP="00C37873">
      <w:pPr>
        <w:pStyle w:val="Title"/>
        <w:jc w:val="both"/>
      </w:pPr>
      <w:r w:rsidRPr="00E3085D">
        <w:t xml:space="preserve">40 CFR Part 60, Subpart Kb </w:t>
      </w:r>
      <w:r>
        <w:t>–</w:t>
      </w:r>
      <w:r w:rsidRPr="00E3085D">
        <w:t xml:space="preserve"> Standards of Performance for Volatile Organic Liquid Storage Vessels (Including Petroleum Liquid Storage Vessels) for Which Construction, Reconstruction, or Modification Commenced After July 23, 1984</w:t>
      </w:r>
    </w:p>
    <w:p w14:paraId="5F30A6EA" w14:textId="77777777" w:rsidR="00C37873" w:rsidRPr="00610D56" w:rsidRDefault="00C37873" w:rsidP="00C37873">
      <w:pPr>
        <w:pStyle w:val="Title"/>
        <w:jc w:val="both"/>
        <w:rPr>
          <w:b w:val="0"/>
          <w:u w:val="single"/>
        </w:rPr>
      </w:pPr>
      <w:r>
        <w:rPr>
          <w:b w:val="0"/>
        </w:rPr>
        <w:t>The facility has two</w:t>
      </w:r>
      <w:r w:rsidRPr="00175A63">
        <w:rPr>
          <w:b w:val="0"/>
        </w:rPr>
        <w:t xml:space="preserve"> </w:t>
      </w:r>
      <w:r w:rsidR="00D93D37">
        <w:rPr>
          <w:b w:val="0"/>
        </w:rPr>
        <w:t xml:space="preserve">(2) </w:t>
      </w:r>
      <w:r w:rsidRPr="00175A63">
        <w:rPr>
          <w:b w:val="0"/>
        </w:rPr>
        <w:t>diesel storage tank</w:t>
      </w:r>
      <w:r>
        <w:rPr>
          <w:b w:val="0"/>
        </w:rPr>
        <w:t xml:space="preserve">s: one </w:t>
      </w:r>
      <w:r w:rsidRPr="00175A63">
        <w:rPr>
          <w:b w:val="0"/>
        </w:rPr>
        <w:t>2,000</w:t>
      </w:r>
      <w:r>
        <w:rPr>
          <w:b w:val="0"/>
        </w:rPr>
        <w:t>-</w:t>
      </w:r>
      <w:r w:rsidRPr="00175A63">
        <w:rPr>
          <w:b w:val="0"/>
        </w:rPr>
        <w:t>gallon</w:t>
      </w:r>
      <w:r>
        <w:rPr>
          <w:b w:val="0"/>
        </w:rPr>
        <w:t xml:space="preserve"> tank and one 8</w:t>
      </w:r>
      <w:r w:rsidRPr="00175A63">
        <w:rPr>
          <w:b w:val="0"/>
        </w:rPr>
        <w:t>,000</w:t>
      </w:r>
      <w:r>
        <w:rPr>
          <w:b w:val="0"/>
        </w:rPr>
        <w:t>-</w:t>
      </w:r>
      <w:r w:rsidRPr="00175A63">
        <w:rPr>
          <w:b w:val="0"/>
        </w:rPr>
        <w:t>gallon</w:t>
      </w:r>
      <w:r>
        <w:rPr>
          <w:b w:val="0"/>
        </w:rPr>
        <w:t xml:space="preserve"> tank</w:t>
      </w:r>
      <w:r w:rsidRPr="00175A63">
        <w:rPr>
          <w:b w:val="0"/>
        </w:rPr>
        <w:t xml:space="preserve">. This subpart applies to tanks with capacities greater than 19,800 gallons; therefore, this subpart </w:t>
      </w:r>
      <w:r w:rsidRPr="00610D56">
        <w:rPr>
          <w:b w:val="0"/>
          <w:u w:val="single"/>
        </w:rPr>
        <w:t>is not applicable.</w:t>
      </w:r>
    </w:p>
    <w:p w14:paraId="68804D26" w14:textId="77777777" w:rsidR="00610D56" w:rsidRDefault="00610D56" w:rsidP="001D7E96">
      <w:pPr>
        <w:pStyle w:val="Title"/>
        <w:jc w:val="both"/>
        <w:rPr>
          <w:u w:val="single"/>
        </w:rPr>
      </w:pPr>
    </w:p>
    <w:p w14:paraId="1D1CAB76" w14:textId="6BA63EC7" w:rsidR="001D7E96" w:rsidRDefault="001D7E96" w:rsidP="001D7E96">
      <w:pPr>
        <w:pStyle w:val="Title"/>
        <w:jc w:val="both"/>
        <w:rPr>
          <w:u w:val="single"/>
        </w:rPr>
      </w:pPr>
      <w:r>
        <w:rPr>
          <w:u w:val="single"/>
        </w:rPr>
        <w:t>MACT APPLICABILITY</w:t>
      </w:r>
    </w:p>
    <w:p w14:paraId="6FEA7C9F" w14:textId="77777777" w:rsidR="001D7E96" w:rsidRDefault="001D7E96" w:rsidP="001D7E96">
      <w:pPr>
        <w:pStyle w:val="Title"/>
        <w:jc w:val="both"/>
        <w:rPr>
          <w:u w:val="single"/>
        </w:rPr>
      </w:pPr>
    </w:p>
    <w:p w14:paraId="11BBC6CB" w14:textId="77777777" w:rsidR="008834A1" w:rsidRPr="00610D56" w:rsidRDefault="008834A1" w:rsidP="008834A1">
      <w:pPr>
        <w:rPr>
          <w:b/>
        </w:rPr>
      </w:pPr>
      <w:r w:rsidRPr="00610D56">
        <w:rPr>
          <w:b/>
        </w:rPr>
        <w:t>40 CFR 63 Subpart JJJJJJ - National Emission Standards for Hazardous Air Pollutants for Industrial, Commercial, and Institutional Boilers Area Sources</w:t>
      </w:r>
    </w:p>
    <w:p w14:paraId="2691A56B" w14:textId="77777777" w:rsidR="00610D56" w:rsidRDefault="008834A1" w:rsidP="008834A1">
      <w:pPr>
        <w:jc w:val="both"/>
      </w:pPr>
      <w:r w:rsidRPr="00610D56">
        <w:t>The facility’s wood-fired</w:t>
      </w:r>
      <w:r w:rsidR="00610D56" w:rsidRPr="00610D56">
        <w:t xml:space="preserve"> boilers (Emission Points AA-012 and AA-027</w:t>
      </w:r>
      <w:r w:rsidRPr="00610D56">
        <w:t>) are subject to the requirements of this subp</w:t>
      </w:r>
      <w:r w:rsidR="00610D56" w:rsidRPr="00610D56">
        <w:t>art.  Both boilers are classified as</w:t>
      </w:r>
      <w:r w:rsidRPr="00610D56">
        <w:t xml:space="preserve"> ‘ex</w:t>
      </w:r>
      <w:r w:rsidR="00610D56" w:rsidRPr="00610D56">
        <w:t xml:space="preserve">isting sources’ because </w:t>
      </w:r>
      <w:r w:rsidR="00734EA4">
        <w:t>they</w:t>
      </w:r>
      <w:r w:rsidR="00610D56" w:rsidRPr="00610D56">
        <w:t xml:space="preserve"> were</w:t>
      </w:r>
      <w:r w:rsidRPr="00610D56">
        <w:t xml:space="preserve"> </w:t>
      </w:r>
      <w:r w:rsidR="00610D56" w:rsidRPr="00610D56">
        <w:t xml:space="preserve">constructed before June 4, 2010. </w:t>
      </w:r>
      <w:r w:rsidR="00D93D37">
        <w:t xml:space="preserve"> </w:t>
      </w:r>
      <w:r w:rsidRPr="00610D56">
        <w:t xml:space="preserve">The facility is required to conduct tune-ups </w:t>
      </w:r>
      <w:r w:rsidR="00610D56" w:rsidRPr="00610D56">
        <w:t xml:space="preserve">every 5 years for </w:t>
      </w:r>
      <w:r w:rsidR="00734EA4">
        <w:t xml:space="preserve">Emission Point </w:t>
      </w:r>
      <w:r w:rsidR="00610D56" w:rsidRPr="00610D56">
        <w:t>AA-012 because the unit has an oxygen trim system</w:t>
      </w:r>
      <w:r w:rsidR="00734EA4">
        <w:t xml:space="preserve"> that maintains an optimum air-to-fuel ratio. </w:t>
      </w:r>
      <w:r w:rsidR="00D93D37">
        <w:t xml:space="preserve"> </w:t>
      </w:r>
      <w:r w:rsidR="00734EA4">
        <w:t>The facility conducts tune-ups e</w:t>
      </w:r>
      <w:r w:rsidR="00610D56" w:rsidRPr="00610D56">
        <w:t xml:space="preserve">very 2 years for </w:t>
      </w:r>
      <w:r w:rsidR="00734EA4">
        <w:t xml:space="preserve">Emission Point </w:t>
      </w:r>
      <w:r w:rsidR="00610D56" w:rsidRPr="00610D56">
        <w:t>AA-027 because the unit does not have an oxygen trim system.</w:t>
      </w:r>
      <w:r w:rsidR="00610D56">
        <w:t xml:space="preserve"> </w:t>
      </w:r>
      <w:r w:rsidR="00D93D37">
        <w:t xml:space="preserve"> </w:t>
      </w:r>
      <w:r w:rsidR="00734EA4" w:rsidRPr="00734EA4">
        <w:t xml:space="preserve">The </w:t>
      </w:r>
      <w:r w:rsidR="00AE1678">
        <w:t>one</w:t>
      </w:r>
      <w:r w:rsidR="00734EA4" w:rsidRPr="00734EA4">
        <w:t>-time energy assessment has been completed for Emission Point AA-012</w:t>
      </w:r>
      <w:r w:rsidR="00AE1678">
        <w:t xml:space="preserve"> (an energy assessment does not have to be completed for Emission Point AA-027 because it has a heat input capacity less than 10 MMBTU / hour)</w:t>
      </w:r>
      <w:r w:rsidR="00734EA4" w:rsidRPr="00734EA4">
        <w:t>.</w:t>
      </w:r>
    </w:p>
    <w:p w14:paraId="3C83B956" w14:textId="77777777" w:rsidR="00610D56" w:rsidRPr="004957BB" w:rsidRDefault="00610D56" w:rsidP="008834A1">
      <w:pPr>
        <w:jc w:val="both"/>
      </w:pPr>
    </w:p>
    <w:p w14:paraId="2469EC50" w14:textId="77777777" w:rsidR="00C37873" w:rsidRPr="0023731E" w:rsidRDefault="00C37873" w:rsidP="00C37873">
      <w:pPr>
        <w:pStyle w:val="Title"/>
        <w:jc w:val="both"/>
        <w:rPr>
          <w:bCs w:val="0"/>
        </w:rPr>
      </w:pPr>
      <w:r w:rsidRPr="0023731E">
        <w:rPr>
          <w:bCs w:val="0"/>
        </w:rPr>
        <w:t>40 CFR Part 63, Subpart DDDD – National Emission Standards for Hazardous Air Pollutants: Plywood and Composite Wood Products</w:t>
      </w:r>
    </w:p>
    <w:p w14:paraId="003A46C9" w14:textId="77777777" w:rsidR="00C37873" w:rsidRDefault="00C37873" w:rsidP="00C37873">
      <w:pPr>
        <w:pStyle w:val="Title"/>
        <w:jc w:val="both"/>
        <w:rPr>
          <w:b w:val="0"/>
          <w:bCs w:val="0"/>
        </w:rPr>
      </w:pPr>
      <w:r>
        <w:rPr>
          <w:b w:val="0"/>
          <w:bCs w:val="0"/>
        </w:rPr>
        <w:t xml:space="preserve">This subpart regulates plywood and composite wood products manufacturing facilities, which include facilities manufacturing kiln-dried lumber, located at a major source of hazardous air pollutant (HAP) emissions. </w:t>
      </w:r>
      <w:r w:rsidR="00AE1678">
        <w:rPr>
          <w:b w:val="0"/>
          <w:bCs w:val="0"/>
        </w:rPr>
        <w:t xml:space="preserve"> </w:t>
      </w:r>
      <w:r w:rsidR="00610D56">
        <w:rPr>
          <w:b w:val="0"/>
          <w:bCs w:val="0"/>
        </w:rPr>
        <w:t xml:space="preserve">J T Shannon is classified as an area </w:t>
      </w:r>
      <w:r>
        <w:rPr>
          <w:b w:val="0"/>
          <w:bCs w:val="0"/>
        </w:rPr>
        <w:t xml:space="preserve">source of HAPs because it </w:t>
      </w:r>
      <w:r w:rsidR="00610D56">
        <w:rPr>
          <w:b w:val="0"/>
          <w:bCs w:val="0"/>
        </w:rPr>
        <w:t>does not</w:t>
      </w:r>
      <w:r>
        <w:rPr>
          <w:b w:val="0"/>
          <w:bCs w:val="0"/>
        </w:rPr>
        <w:t xml:space="preserve"> emit more than 10 </w:t>
      </w:r>
      <w:proofErr w:type="spellStart"/>
      <w:r>
        <w:rPr>
          <w:b w:val="0"/>
          <w:bCs w:val="0"/>
        </w:rPr>
        <w:t>tpy</w:t>
      </w:r>
      <w:proofErr w:type="spellEnd"/>
      <w:r>
        <w:rPr>
          <w:b w:val="0"/>
          <w:bCs w:val="0"/>
        </w:rPr>
        <w:t xml:space="preserve"> of an individual HAP</w:t>
      </w:r>
      <w:r w:rsidR="00610D56">
        <w:rPr>
          <w:b w:val="0"/>
          <w:bCs w:val="0"/>
        </w:rPr>
        <w:t xml:space="preserve"> or more tha</w:t>
      </w:r>
      <w:r w:rsidR="00734EA4">
        <w:rPr>
          <w:b w:val="0"/>
          <w:bCs w:val="0"/>
        </w:rPr>
        <w:t>n</w:t>
      </w:r>
      <w:r w:rsidR="00610D56">
        <w:rPr>
          <w:b w:val="0"/>
          <w:bCs w:val="0"/>
        </w:rPr>
        <w:t xml:space="preserve"> 25 </w:t>
      </w:r>
      <w:proofErr w:type="spellStart"/>
      <w:r w:rsidR="00610D56">
        <w:rPr>
          <w:b w:val="0"/>
          <w:bCs w:val="0"/>
        </w:rPr>
        <w:t>tpy</w:t>
      </w:r>
      <w:proofErr w:type="spellEnd"/>
      <w:r w:rsidR="00610D56">
        <w:rPr>
          <w:b w:val="0"/>
          <w:bCs w:val="0"/>
        </w:rPr>
        <w:t xml:space="preserve"> of all HAPs combined</w:t>
      </w:r>
      <w:r>
        <w:rPr>
          <w:b w:val="0"/>
          <w:bCs w:val="0"/>
        </w:rPr>
        <w:t xml:space="preserve">. </w:t>
      </w:r>
      <w:r w:rsidR="00610D56">
        <w:rPr>
          <w:b w:val="0"/>
          <w:bCs w:val="0"/>
        </w:rPr>
        <w:t xml:space="preserve">Therefore, </w:t>
      </w:r>
      <w:r>
        <w:rPr>
          <w:b w:val="0"/>
          <w:bCs w:val="0"/>
        </w:rPr>
        <w:t xml:space="preserve">Subpart DDDD </w:t>
      </w:r>
      <w:r w:rsidR="00610D56" w:rsidRPr="00610D56">
        <w:rPr>
          <w:b w:val="0"/>
          <w:bCs w:val="0"/>
          <w:u w:val="single"/>
        </w:rPr>
        <w:t>is not</w:t>
      </w:r>
      <w:r w:rsidRPr="00610D56">
        <w:rPr>
          <w:b w:val="0"/>
          <w:bCs w:val="0"/>
          <w:u w:val="single"/>
        </w:rPr>
        <w:t xml:space="preserve"> applica</w:t>
      </w:r>
      <w:r w:rsidR="00610D56" w:rsidRPr="00610D56">
        <w:rPr>
          <w:b w:val="0"/>
          <w:bCs w:val="0"/>
          <w:u w:val="single"/>
        </w:rPr>
        <w:t>ble</w:t>
      </w:r>
      <w:r w:rsidR="00610D56">
        <w:rPr>
          <w:b w:val="0"/>
          <w:bCs w:val="0"/>
        </w:rPr>
        <w:t>.</w:t>
      </w:r>
    </w:p>
    <w:p w14:paraId="56BA3E65" w14:textId="77777777" w:rsidR="00A11EAD" w:rsidRDefault="00A11EAD">
      <w:pPr>
        <w:pStyle w:val="Title"/>
        <w:jc w:val="both"/>
        <w:rPr>
          <w:b w:val="0"/>
          <w:bCs w:val="0"/>
        </w:rPr>
      </w:pPr>
    </w:p>
    <w:p w14:paraId="41F89D6E" w14:textId="77777777"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PUBLIC PARTICIPATION</w:t>
      </w:r>
    </w:p>
    <w:p w14:paraId="28700EA9" w14:textId="77777777" w:rsidR="00884CB2" w:rsidRDefault="00884CB2">
      <w:pPr>
        <w:pStyle w:val="BodyText2"/>
      </w:pPr>
    </w:p>
    <w:p w14:paraId="79BC6D08" w14:textId="084A60CB" w:rsidR="00AE785C" w:rsidRDefault="00AE785C">
      <w:pPr>
        <w:pStyle w:val="BodyText2"/>
      </w:pPr>
      <w:r>
        <w:t xml:space="preserve">The 30-day public notice period began on </w:t>
      </w:r>
      <w:proofErr w:type="spellStart"/>
      <w:r w:rsidR="004C2497">
        <w:t>Mrch</w:t>
      </w:r>
      <w:proofErr w:type="spellEnd"/>
      <w:r w:rsidR="004C2497">
        <w:t xml:space="preserve"> 25, 2021</w:t>
      </w:r>
      <w:r>
        <w:t xml:space="preserve">, with the publication of a notice in the </w:t>
      </w:r>
      <w:proofErr w:type="spellStart"/>
      <w:r w:rsidR="004C2497">
        <w:t>DeSoto</w:t>
      </w:r>
      <w:proofErr w:type="spellEnd"/>
      <w:r w:rsidR="004C2497">
        <w:t xml:space="preserve"> Times-Tribune</w:t>
      </w:r>
      <w:r>
        <w:t xml:space="preserve"> and ends </w:t>
      </w:r>
      <w:r w:rsidR="004C2497">
        <w:t>April 26, 2021</w:t>
      </w:r>
      <w:r>
        <w:t>.</w:t>
      </w:r>
    </w:p>
    <w:p w14:paraId="7159FA0B" w14:textId="77777777" w:rsidR="00C50C0C" w:rsidRDefault="00C50C0C">
      <w:pPr>
        <w:spacing w:line="240" w:lineRule="atLeast"/>
        <w:rPr>
          <w:rFonts w:ascii="Tms Rmn" w:hAnsi="Tms Rmn" w:cs="Tms Rmn"/>
          <w:b/>
          <w:bCs/>
          <w:color w:val="000000"/>
          <w:u w:val="single"/>
        </w:rPr>
      </w:pPr>
    </w:p>
    <w:p w14:paraId="1285C422" w14:textId="316E5906"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RECOMMENDATION</w:t>
      </w:r>
    </w:p>
    <w:p w14:paraId="291D55BB" w14:textId="77777777" w:rsidR="00884CB2" w:rsidRDefault="00884CB2">
      <w:pPr>
        <w:pStyle w:val="Title"/>
        <w:jc w:val="both"/>
        <w:rPr>
          <w:rFonts w:ascii="Tms Rmn" w:hAnsi="Tms Rmn" w:cs="Tms Rmn"/>
          <w:b w:val="0"/>
          <w:bCs w:val="0"/>
          <w:snapToGrid w:val="0"/>
          <w:color w:val="000000"/>
        </w:rPr>
      </w:pPr>
    </w:p>
    <w:p w14:paraId="1E99ED04" w14:textId="1DDC57B4" w:rsidR="00AE785C" w:rsidRDefault="00AE785C">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sectPr w:rsidR="00AE785C" w:rsidSect="00884CB2">
      <w:headerReference w:type="default" r:id="rId8"/>
      <w:footerReference w:type="default" r:id="rId9"/>
      <w:footerReference w:type="first" r:id="rId10"/>
      <w:pgSz w:w="12240" w:h="15840" w:code="1"/>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D401" w14:textId="77777777" w:rsidR="00627310" w:rsidRDefault="00627310">
      <w:r>
        <w:separator/>
      </w:r>
    </w:p>
  </w:endnote>
  <w:endnote w:type="continuationSeparator" w:id="0">
    <w:p w14:paraId="6A75AE0C" w14:textId="77777777" w:rsidR="00627310" w:rsidRDefault="0062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CF7E" w14:textId="77777777" w:rsidR="00AE785C" w:rsidRPr="002538BF" w:rsidRDefault="0026446A" w:rsidP="0026446A">
    <w:pPr>
      <w:pStyle w:val="Footer"/>
      <w:rPr>
        <w:sz w:val="20"/>
        <w:szCs w:val="20"/>
      </w:rPr>
    </w:pPr>
    <w:r w:rsidRPr="002538BF">
      <w:rPr>
        <w:sz w:val="20"/>
        <w:szCs w:val="20"/>
      </w:rPr>
      <w:t>1525 PER20190001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76A7" w14:textId="77777777" w:rsidR="00AE785C" w:rsidRPr="002538BF" w:rsidRDefault="00AE785C">
    <w:pPr>
      <w:pStyle w:val="Footer"/>
      <w:rPr>
        <w:sz w:val="20"/>
        <w:szCs w:val="20"/>
      </w:rPr>
    </w:pPr>
    <w:r w:rsidRPr="002538BF">
      <w:rPr>
        <w:sz w:val="20"/>
        <w:szCs w:val="20"/>
      </w:rPr>
      <w:t>1525 PER20190001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E8E5" w14:textId="77777777" w:rsidR="00627310" w:rsidRDefault="00627310">
      <w:r>
        <w:separator/>
      </w:r>
    </w:p>
  </w:footnote>
  <w:footnote w:type="continuationSeparator" w:id="0">
    <w:p w14:paraId="322C98F5" w14:textId="77777777" w:rsidR="00627310" w:rsidRDefault="0062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0855" w14:textId="77777777" w:rsidR="00AE785C" w:rsidRDefault="00AE785C">
    <w:pPr>
      <w:pStyle w:val="Header"/>
      <w:rPr>
        <w:sz w:val="18"/>
        <w:szCs w:val="18"/>
      </w:rPr>
    </w:pPr>
    <w:r>
      <w:rPr>
        <w:sz w:val="18"/>
        <w:szCs w:val="18"/>
      </w:rPr>
      <w:t>Permit Review Summary</w:t>
    </w:r>
  </w:p>
  <w:p w14:paraId="6978932C" w14:textId="7D871886"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84CB2">
      <w:rPr>
        <w:rStyle w:val="PageNumber"/>
        <w:noProof/>
        <w:sz w:val="18"/>
        <w:szCs w:val="18"/>
      </w:rPr>
      <w:t>3</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46A5A67"/>
    <w:multiLevelType w:val="hybridMultilevel"/>
    <w:tmpl w:val="BEF0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7077C2"/>
    <w:multiLevelType w:val="hybridMultilevel"/>
    <w:tmpl w:val="4838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5F6CEE"/>
    <w:multiLevelType w:val="hybridMultilevel"/>
    <w:tmpl w:val="552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11"/>
  </w:num>
  <w:num w:numId="5">
    <w:abstractNumId w:val="1"/>
  </w:num>
  <w:num w:numId="6">
    <w:abstractNumId w:val="10"/>
  </w:num>
  <w:num w:numId="7">
    <w:abstractNumId w:val="12"/>
  </w:num>
  <w:num w:numId="8">
    <w:abstractNumId w:val="9"/>
  </w:num>
  <w:num w:numId="9">
    <w:abstractNumId w:val="8"/>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01DFC"/>
    <w:rsid w:val="00031259"/>
    <w:rsid w:val="00032135"/>
    <w:rsid w:val="0004141E"/>
    <w:rsid w:val="00055ED3"/>
    <w:rsid w:val="000A38F1"/>
    <w:rsid w:val="000C69BD"/>
    <w:rsid w:val="000D3836"/>
    <w:rsid w:val="000E657C"/>
    <w:rsid w:val="00175A63"/>
    <w:rsid w:val="00176793"/>
    <w:rsid w:val="001767B2"/>
    <w:rsid w:val="001A0D5E"/>
    <w:rsid w:val="001D5D9A"/>
    <w:rsid w:val="001D7E96"/>
    <w:rsid w:val="002108CF"/>
    <w:rsid w:val="00212BD4"/>
    <w:rsid w:val="00233312"/>
    <w:rsid w:val="0023731E"/>
    <w:rsid w:val="002538BF"/>
    <w:rsid w:val="002574CE"/>
    <w:rsid w:val="0026446A"/>
    <w:rsid w:val="002A0DB9"/>
    <w:rsid w:val="002C72F3"/>
    <w:rsid w:val="002D20C9"/>
    <w:rsid w:val="002E6667"/>
    <w:rsid w:val="002F3D57"/>
    <w:rsid w:val="003323F6"/>
    <w:rsid w:val="00361BC2"/>
    <w:rsid w:val="003A132E"/>
    <w:rsid w:val="003A3673"/>
    <w:rsid w:val="003A53F9"/>
    <w:rsid w:val="003B4F53"/>
    <w:rsid w:val="003C010C"/>
    <w:rsid w:val="003C103B"/>
    <w:rsid w:val="003F2E4C"/>
    <w:rsid w:val="00405386"/>
    <w:rsid w:val="00416BEC"/>
    <w:rsid w:val="00424921"/>
    <w:rsid w:val="00424DEA"/>
    <w:rsid w:val="004957BB"/>
    <w:rsid w:val="004B0B02"/>
    <w:rsid w:val="004B2D0A"/>
    <w:rsid w:val="004C2497"/>
    <w:rsid w:val="00533198"/>
    <w:rsid w:val="0055558F"/>
    <w:rsid w:val="00562523"/>
    <w:rsid w:val="00587A37"/>
    <w:rsid w:val="00595EF0"/>
    <w:rsid w:val="005A06EE"/>
    <w:rsid w:val="005D0BF7"/>
    <w:rsid w:val="00605A28"/>
    <w:rsid w:val="00610D56"/>
    <w:rsid w:val="006212DF"/>
    <w:rsid w:val="00627310"/>
    <w:rsid w:val="00646EC7"/>
    <w:rsid w:val="00671D57"/>
    <w:rsid w:val="00674247"/>
    <w:rsid w:val="00694EB5"/>
    <w:rsid w:val="006A1772"/>
    <w:rsid w:val="006B2789"/>
    <w:rsid w:val="006B38D2"/>
    <w:rsid w:val="00703435"/>
    <w:rsid w:val="007147D8"/>
    <w:rsid w:val="00734EA4"/>
    <w:rsid w:val="00745139"/>
    <w:rsid w:val="007647A3"/>
    <w:rsid w:val="00771954"/>
    <w:rsid w:val="007A65CE"/>
    <w:rsid w:val="007B0B0B"/>
    <w:rsid w:val="00830508"/>
    <w:rsid w:val="008560D3"/>
    <w:rsid w:val="008834A1"/>
    <w:rsid w:val="00884CB2"/>
    <w:rsid w:val="008C68B5"/>
    <w:rsid w:val="008D7FDD"/>
    <w:rsid w:val="009041BA"/>
    <w:rsid w:val="0093005B"/>
    <w:rsid w:val="009300AC"/>
    <w:rsid w:val="00962E07"/>
    <w:rsid w:val="00986DF9"/>
    <w:rsid w:val="009B4D43"/>
    <w:rsid w:val="009F4EB2"/>
    <w:rsid w:val="00A028B8"/>
    <w:rsid w:val="00A11EAD"/>
    <w:rsid w:val="00A21F1D"/>
    <w:rsid w:val="00A45CF6"/>
    <w:rsid w:val="00A90E68"/>
    <w:rsid w:val="00AA2068"/>
    <w:rsid w:val="00AB5062"/>
    <w:rsid w:val="00AC05E6"/>
    <w:rsid w:val="00AE1678"/>
    <w:rsid w:val="00AE562D"/>
    <w:rsid w:val="00AE785C"/>
    <w:rsid w:val="00AF3C0E"/>
    <w:rsid w:val="00AF75D7"/>
    <w:rsid w:val="00B4253C"/>
    <w:rsid w:val="00B43E9A"/>
    <w:rsid w:val="00B64B20"/>
    <w:rsid w:val="00B71132"/>
    <w:rsid w:val="00BE5FE2"/>
    <w:rsid w:val="00BF79C3"/>
    <w:rsid w:val="00C21186"/>
    <w:rsid w:val="00C37873"/>
    <w:rsid w:val="00C5054A"/>
    <w:rsid w:val="00C50C0C"/>
    <w:rsid w:val="00C6317A"/>
    <w:rsid w:val="00C82173"/>
    <w:rsid w:val="00C84C8C"/>
    <w:rsid w:val="00C87529"/>
    <w:rsid w:val="00CB703A"/>
    <w:rsid w:val="00CF0F3B"/>
    <w:rsid w:val="00D13612"/>
    <w:rsid w:val="00D25E43"/>
    <w:rsid w:val="00D65C78"/>
    <w:rsid w:val="00D84228"/>
    <w:rsid w:val="00D93D37"/>
    <w:rsid w:val="00DA2731"/>
    <w:rsid w:val="00DA4E91"/>
    <w:rsid w:val="00DB5F88"/>
    <w:rsid w:val="00DD6DD0"/>
    <w:rsid w:val="00DD7ECB"/>
    <w:rsid w:val="00E06B49"/>
    <w:rsid w:val="00E16FE1"/>
    <w:rsid w:val="00E3085D"/>
    <w:rsid w:val="00E72352"/>
    <w:rsid w:val="00E81BEA"/>
    <w:rsid w:val="00F33C8C"/>
    <w:rsid w:val="00F67BC9"/>
    <w:rsid w:val="00F81A24"/>
    <w:rsid w:val="00F9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6C4F3"/>
  <w14:defaultImageDpi w14:val="0"/>
  <w15:docId w15:val="{877C27A3-95AB-473E-93B8-19DB8A64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Closing" w:semiHidden="1"/>
    <w:lsdException w:name="Signature"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671D57"/>
    <w:rPr>
      <w:rFonts w:ascii="Segoe UI" w:hAnsi="Segoe UI" w:cs="Segoe UI"/>
      <w:sz w:val="18"/>
      <w:szCs w:val="18"/>
    </w:rPr>
  </w:style>
  <w:style w:type="character" w:customStyle="1" w:styleId="BalloonTextChar">
    <w:name w:val="Balloon Text Char"/>
    <w:basedOn w:val="DefaultParagraphFont"/>
    <w:link w:val="BalloonText"/>
    <w:uiPriority w:val="99"/>
    <w:locked/>
    <w:rsid w:val="00671D57"/>
    <w:rPr>
      <w:rFonts w:ascii="Segoe UI" w:hAnsi="Segoe UI" w:cs="Segoe UI"/>
      <w:sz w:val="18"/>
      <w:szCs w:val="18"/>
    </w:rPr>
  </w:style>
  <w:style w:type="paragraph" w:styleId="BodyText3">
    <w:name w:val="Body Text 3"/>
    <w:basedOn w:val="Normal"/>
    <w:link w:val="BodyText3Char"/>
    <w:uiPriority w:val="99"/>
    <w:rsid w:val="000D3836"/>
    <w:pPr>
      <w:spacing w:after="120"/>
    </w:pPr>
    <w:rPr>
      <w:sz w:val="16"/>
      <w:szCs w:val="16"/>
    </w:rPr>
  </w:style>
  <w:style w:type="character" w:customStyle="1" w:styleId="BodyText3Char">
    <w:name w:val="Body Text 3 Char"/>
    <w:basedOn w:val="DefaultParagraphFont"/>
    <w:link w:val="BodyText3"/>
    <w:uiPriority w:val="99"/>
    <w:locked/>
    <w:rsid w:val="000D3836"/>
    <w:rPr>
      <w:rFonts w:cs="Times New Roman"/>
      <w:sz w:val="16"/>
      <w:szCs w:val="16"/>
    </w:rPr>
  </w:style>
  <w:style w:type="paragraph" w:styleId="ListParagraph">
    <w:name w:val="List Paragraph"/>
    <w:basedOn w:val="Normal"/>
    <w:uiPriority w:val="34"/>
    <w:qFormat/>
    <w:rsid w:val="00D13612"/>
    <w:pPr>
      <w:ind w:left="720"/>
      <w:contextualSpacing/>
    </w:pPr>
  </w:style>
  <w:style w:type="paragraph" w:styleId="Subtitle">
    <w:name w:val="Subtitle"/>
    <w:basedOn w:val="Normal"/>
    <w:next w:val="Normal"/>
    <w:link w:val="SubtitleChar"/>
    <w:uiPriority w:val="11"/>
    <w:qFormat/>
    <w:rsid w:val="00BE5FE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locked/>
    <w:rsid w:val="00BE5FE2"/>
    <w:rPr>
      <w:rFonts w:asciiTheme="minorHAnsi" w:eastAsiaTheme="minorEastAsia" w:hAnsiTheme="minorHAnsi" w:cs="Times New Roman"/>
      <w:color w:val="5A5A5A" w:themeColor="text1" w:themeTint="A5"/>
      <w:spacing w:val="15"/>
    </w:rPr>
  </w:style>
  <w:style w:type="character" w:styleId="CommentReference">
    <w:name w:val="annotation reference"/>
    <w:basedOn w:val="DefaultParagraphFont"/>
    <w:uiPriority w:val="99"/>
    <w:rsid w:val="00D93D37"/>
    <w:rPr>
      <w:sz w:val="16"/>
      <w:szCs w:val="16"/>
    </w:rPr>
  </w:style>
  <w:style w:type="paragraph" w:styleId="CommentText">
    <w:name w:val="annotation text"/>
    <w:basedOn w:val="Normal"/>
    <w:link w:val="CommentTextChar"/>
    <w:uiPriority w:val="99"/>
    <w:rsid w:val="00D93D37"/>
    <w:rPr>
      <w:sz w:val="20"/>
      <w:szCs w:val="20"/>
    </w:rPr>
  </w:style>
  <w:style w:type="character" w:customStyle="1" w:styleId="CommentTextChar">
    <w:name w:val="Comment Text Char"/>
    <w:basedOn w:val="DefaultParagraphFont"/>
    <w:link w:val="CommentText"/>
    <w:uiPriority w:val="99"/>
    <w:rsid w:val="00D93D37"/>
    <w:rPr>
      <w:sz w:val="20"/>
      <w:szCs w:val="20"/>
    </w:rPr>
  </w:style>
  <w:style w:type="paragraph" w:styleId="CommentSubject">
    <w:name w:val="annotation subject"/>
    <w:basedOn w:val="CommentText"/>
    <w:next w:val="CommentText"/>
    <w:link w:val="CommentSubjectChar"/>
    <w:uiPriority w:val="99"/>
    <w:rsid w:val="00D93D37"/>
    <w:rPr>
      <w:b/>
      <w:bCs/>
    </w:rPr>
  </w:style>
  <w:style w:type="character" w:customStyle="1" w:styleId="CommentSubjectChar">
    <w:name w:val="Comment Subject Char"/>
    <w:basedOn w:val="CommentTextChar"/>
    <w:link w:val="CommentSubject"/>
    <w:uiPriority w:val="99"/>
    <w:rsid w:val="00D93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C26C-2745-4056-97DB-349C8F3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enSite Letter.dot</Template>
  <TotalTime>97</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Ivelina Pilgrim</cp:lastModifiedBy>
  <cp:revision>18</cp:revision>
  <cp:lastPrinted>2019-01-10T15:50:00Z</cp:lastPrinted>
  <dcterms:created xsi:type="dcterms:W3CDTF">2021-01-21T22:55:00Z</dcterms:created>
  <dcterms:modified xsi:type="dcterms:W3CDTF">2021-03-22T17:18:00Z</dcterms:modified>
</cp:coreProperties>
</file>