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FD9EB" w14:textId="77777777" w:rsidR="005E1C12" w:rsidRDefault="005E1C12">
      <w:pPr>
        <w:jc w:val="center"/>
        <w:rPr>
          <w:b/>
          <w:bCs/>
          <w:sz w:val="32"/>
          <w:szCs w:val="32"/>
        </w:rPr>
      </w:pPr>
      <w:r>
        <w:rPr>
          <w:b/>
          <w:bCs/>
          <w:sz w:val="32"/>
          <w:szCs w:val="32"/>
        </w:rPr>
        <w:t>INFORMATION RELATIVE TO</w:t>
      </w:r>
      <w:r w:rsidR="00CC1957">
        <w:rPr>
          <w:b/>
          <w:bCs/>
          <w:sz w:val="32"/>
          <w:szCs w:val="32"/>
        </w:rPr>
        <w:t xml:space="preserve"> </w:t>
      </w:r>
    </w:p>
    <w:p w14:paraId="7017C0BE" w14:textId="3D995C18" w:rsidR="005E1C12" w:rsidRDefault="00D46FFA">
      <w:pPr>
        <w:jc w:val="center"/>
        <w:rPr>
          <w:b/>
          <w:bCs/>
          <w:sz w:val="32"/>
          <w:szCs w:val="32"/>
        </w:rPr>
      </w:pPr>
      <w:r>
        <w:rPr>
          <w:b/>
          <w:bCs/>
          <w:sz w:val="32"/>
          <w:szCs w:val="32"/>
        </w:rPr>
        <w:t>THE</w:t>
      </w:r>
      <w:r w:rsidR="005E1C12">
        <w:rPr>
          <w:b/>
          <w:bCs/>
          <w:sz w:val="32"/>
          <w:szCs w:val="32"/>
        </w:rPr>
        <w:t xml:space="preserve"> TITLE V OPERATING PERMIT</w:t>
      </w:r>
    </w:p>
    <w:p w14:paraId="5A4A37F3" w14:textId="008F08F1" w:rsidR="007E6D99" w:rsidRDefault="00BC7634">
      <w:pPr>
        <w:jc w:val="center"/>
        <w:rPr>
          <w:b/>
          <w:bCs/>
          <w:sz w:val="32"/>
          <w:szCs w:val="32"/>
        </w:rPr>
      </w:pPr>
      <w:r>
        <w:rPr>
          <w:b/>
          <w:bCs/>
          <w:sz w:val="32"/>
          <w:szCs w:val="32"/>
        </w:rPr>
        <w:t>October 20</w:t>
      </w:r>
      <w:r w:rsidR="00D46FFA">
        <w:rPr>
          <w:b/>
          <w:bCs/>
          <w:sz w:val="32"/>
          <w:szCs w:val="32"/>
        </w:rPr>
        <w:t>,</w:t>
      </w:r>
      <w:r w:rsidR="00DF75A1" w:rsidRPr="00875FCA">
        <w:rPr>
          <w:b/>
          <w:bCs/>
          <w:sz w:val="32"/>
          <w:szCs w:val="32"/>
        </w:rPr>
        <w:t xml:space="preserve"> 2021</w:t>
      </w:r>
    </w:p>
    <w:p w14:paraId="6C515A17" w14:textId="77777777" w:rsidR="005E1C12" w:rsidRDefault="005E1C12">
      <w:pPr>
        <w:jc w:val="center"/>
        <w:rPr>
          <w:sz w:val="24"/>
          <w:szCs w:val="24"/>
        </w:rPr>
      </w:pPr>
    </w:p>
    <w:p w14:paraId="07FA0504" w14:textId="77777777" w:rsidR="005E1C12" w:rsidRPr="006A52EB" w:rsidRDefault="006A52EB" w:rsidP="00DD0307">
      <w:pPr>
        <w:spacing w:after="120"/>
        <w:rPr>
          <w:sz w:val="24"/>
          <w:szCs w:val="24"/>
          <w:u w:val="single"/>
        </w:rPr>
      </w:pPr>
      <w:r w:rsidRPr="006A52EB">
        <w:rPr>
          <w:sz w:val="24"/>
          <w:szCs w:val="24"/>
          <w:u w:val="single"/>
        </w:rPr>
        <w:t>GENER</w:t>
      </w:r>
      <w:r>
        <w:rPr>
          <w:sz w:val="24"/>
          <w:szCs w:val="24"/>
          <w:u w:val="single"/>
        </w:rPr>
        <w:t>AL FACILITY INFORMATION</w:t>
      </w:r>
    </w:p>
    <w:p w14:paraId="1D9F2A38" w14:textId="77777777" w:rsidR="005E1C12" w:rsidRPr="006A52EB" w:rsidRDefault="000F12F1" w:rsidP="006A52EB">
      <w:pPr>
        <w:pStyle w:val="ReferenceLine"/>
        <w:widowControl/>
        <w:tabs>
          <w:tab w:val="left" w:pos="90"/>
        </w:tabs>
        <w:spacing w:after="0"/>
        <w:rPr>
          <w:bCs/>
        </w:rPr>
      </w:pPr>
      <w:r>
        <w:rPr>
          <w:b/>
          <w:bCs/>
        </w:rPr>
        <w:t xml:space="preserve">Facility Name:  </w:t>
      </w:r>
      <w:r w:rsidR="005E1C12" w:rsidRPr="006A52EB">
        <w:rPr>
          <w:bCs/>
        </w:rPr>
        <w:t>Georgia Pacific Wood Products</w:t>
      </w:r>
      <w:r>
        <w:rPr>
          <w:bCs/>
        </w:rPr>
        <w:t>, LLC –</w:t>
      </w:r>
      <w:r w:rsidR="005E1C12" w:rsidRPr="006A52EB">
        <w:rPr>
          <w:bCs/>
        </w:rPr>
        <w:t xml:space="preserve"> Taylorsville</w:t>
      </w:r>
    </w:p>
    <w:p w14:paraId="7E236FEB" w14:textId="77777777" w:rsidR="005E1C12" w:rsidRPr="000F12F1" w:rsidRDefault="006A52EB" w:rsidP="00681AD1">
      <w:pPr>
        <w:tabs>
          <w:tab w:val="left" w:pos="90"/>
        </w:tabs>
        <w:rPr>
          <w:bCs/>
          <w:snapToGrid w:val="0"/>
          <w:color w:val="000000"/>
          <w:sz w:val="24"/>
          <w:szCs w:val="24"/>
        </w:rPr>
      </w:pPr>
      <w:r w:rsidRPr="006A52EB">
        <w:rPr>
          <w:b/>
          <w:bCs/>
          <w:snapToGrid w:val="0"/>
          <w:color w:val="000000"/>
          <w:sz w:val="24"/>
          <w:szCs w:val="24"/>
        </w:rPr>
        <w:t>Facility Address:</w:t>
      </w:r>
      <w:r>
        <w:rPr>
          <w:bCs/>
          <w:snapToGrid w:val="0"/>
          <w:color w:val="000000"/>
          <w:sz w:val="24"/>
          <w:szCs w:val="24"/>
        </w:rPr>
        <w:t xml:space="preserve">  </w:t>
      </w:r>
      <w:r w:rsidR="005E1C12" w:rsidRPr="00577CB8">
        <w:rPr>
          <w:bCs/>
          <w:snapToGrid w:val="0"/>
          <w:color w:val="000000"/>
          <w:sz w:val="24"/>
          <w:szCs w:val="24"/>
        </w:rPr>
        <w:t>H</w:t>
      </w:r>
      <w:r w:rsidR="00DF75A1">
        <w:rPr>
          <w:bCs/>
          <w:snapToGrid w:val="0"/>
          <w:color w:val="000000"/>
          <w:sz w:val="24"/>
          <w:szCs w:val="24"/>
        </w:rPr>
        <w:t>i</w:t>
      </w:r>
      <w:r w:rsidR="000F12F1">
        <w:rPr>
          <w:bCs/>
          <w:snapToGrid w:val="0"/>
          <w:color w:val="000000"/>
          <w:sz w:val="24"/>
          <w:szCs w:val="24"/>
        </w:rPr>
        <w:t xml:space="preserve">ghway 28 West; </w:t>
      </w:r>
      <w:r w:rsidR="005E1C12" w:rsidRPr="00577CB8">
        <w:rPr>
          <w:bCs/>
          <w:color w:val="000000"/>
          <w:sz w:val="24"/>
          <w:szCs w:val="24"/>
        </w:rPr>
        <w:t xml:space="preserve">Taylorsville, MS </w:t>
      </w:r>
      <w:r w:rsidR="00CD7DBA">
        <w:rPr>
          <w:bCs/>
          <w:color w:val="000000"/>
          <w:sz w:val="24"/>
          <w:szCs w:val="24"/>
        </w:rPr>
        <w:t xml:space="preserve"> </w:t>
      </w:r>
      <w:r w:rsidR="005E1C12" w:rsidRPr="00577CB8">
        <w:rPr>
          <w:bCs/>
          <w:color w:val="000000"/>
          <w:sz w:val="24"/>
          <w:szCs w:val="24"/>
        </w:rPr>
        <w:t xml:space="preserve">39168    </w:t>
      </w:r>
    </w:p>
    <w:p w14:paraId="308998D0" w14:textId="446EE3A7" w:rsidR="00CC1957" w:rsidRDefault="006A52EB" w:rsidP="00681AD1">
      <w:pPr>
        <w:pStyle w:val="ReferenceLine"/>
        <w:widowControl/>
        <w:spacing w:after="0"/>
      </w:pPr>
      <w:r>
        <w:rPr>
          <w:b/>
        </w:rPr>
        <w:t xml:space="preserve">County: </w:t>
      </w:r>
      <w:r w:rsidR="00DC2311">
        <w:rPr>
          <w:b/>
        </w:rPr>
        <w:t xml:space="preserve"> </w:t>
      </w:r>
      <w:r w:rsidR="00CC1957" w:rsidRPr="006A52EB">
        <w:t>Smith</w:t>
      </w:r>
    </w:p>
    <w:p w14:paraId="29B82294" w14:textId="77777777" w:rsidR="00991620" w:rsidRPr="000C10C1" w:rsidRDefault="00991620" w:rsidP="00CD7DBA">
      <w:pPr>
        <w:pStyle w:val="ReferenceLine"/>
        <w:widowControl/>
        <w:spacing w:after="0"/>
        <w:ind w:left="1350" w:hanging="1350"/>
        <w:rPr>
          <w:color w:val="FF0000"/>
        </w:rPr>
      </w:pPr>
      <w:r w:rsidRPr="00991620">
        <w:rPr>
          <w:b/>
        </w:rPr>
        <w:t xml:space="preserve">SIC Code(s): </w:t>
      </w:r>
      <w:r w:rsidR="00CD7DBA">
        <w:rPr>
          <w:b/>
        </w:rPr>
        <w:t xml:space="preserve"> </w:t>
      </w:r>
      <w:r w:rsidR="005D7E4C">
        <w:t>2436</w:t>
      </w:r>
      <w:proofErr w:type="gramStart"/>
      <w:r w:rsidR="00CD7DBA">
        <w:t>;</w:t>
      </w:r>
      <w:proofErr w:type="gramEnd"/>
      <w:r w:rsidR="00CD7DBA">
        <w:t xml:space="preserve"> 2421 </w:t>
      </w:r>
    </w:p>
    <w:p w14:paraId="18135864" w14:textId="77777777" w:rsidR="006A52EB" w:rsidRDefault="00991620" w:rsidP="00681AD1">
      <w:pPr>
        <w:pStyle w:val="ReferenceLine"/>
        <w:widowControl/>
        <w:spacing w:after="0"/>
        <w:rPr>
          <w:b/>
        </w:rPr>
      </w:pPr>
      <w:r w:rsidRPr="00991620">
        <w:rPr>
          <w:b/>
        </w:rPr>
        <w:t>NAICS Code(s):</w:t>
      </w:r>
      <w:r>
        <w:t xml:space="preserve"> </w:t>
      </w:r>
      <w:r w:rsidR="00CD7DBA">
        <w:t xml:space="preserve"> </w:t>
      </w:r>
      <w:r w:rsidR="00B14D72">
        <w:t>321212</w:t>
      </w:r>
      <w:r w:rsidR="00CD7DBA">
        <w:t>;</w:t>
      </w:r>
      <w:r w:rsidR="00DF75A1">
        <w:t xml:space="preserve"> 321219</w:t>
      </w:r>
    </w:p>
    <w:p w14:paraId="3932B8E3" w14:textId="77777777" w:rsidR="00EA6AF2" w:rsidRDefault="00EA6AF2" w:rsidP="00681AD1">
      <w:pPr>
        <w:pStyle w:val="ReferenceLine"/>
        <w:widowControl/>
        <w:spacing w:after="0"/>
        <w:rPr>
          <w:u w:val="single"/>
        </w:rPr>
      </w:pPr>
    </w:p>
    <w:p w14:paraId="69EBBE05" w14:textId="77777777" w:rsidR="00681AD1" w:rsidRPr="00681AD1" w:rsidRDefault="00681AD1" w:rsidP="00DD0307">
      <w:pPr>
        <w:pStyle w:val="ReferenceLine"/>
        <w:widowControl/>
        <w:rPr>
          <w:u w:val="single"/>
        </w:rPr>
      </w:pPr>
      <w:r>
        <w:rPr>
          <w:u w:val="single"/>
        </w:rPr>
        <w:t xml:space="preserve">APPLICATION SUMMARY </w:t>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4723"/>
      </w:tblGrid>
      <w:tr w:rsidR="00EA6AF2" w14:paraId="3F8FD2E3" w14:textId="77777777" w:rsidTr="00DF75A1">
        <w:trPr>
          <w:trHeight w:val="2182"/>
        </w:trPr>
        <w:tc>
          <w:tcPr>
            <w:tcW w:w="5288" w:type="dxa"/>
          </w:tcPr>
          <w:p w14:paraId="13E5B2B1" w14:textId="77777777" w:rsidR="00EA6AF2" w:rsidRPr="00577CB8" w:rsidRDefault="00EA6AF2" w:rsidP="000C10C1">
            <w:pPr>
              <w:pStyle w:val="ReferenceLine"/>
              <w:widowControl/>
              <w:spacing w:before="60" w:after="60"/>
              <w:ind w:right="168"/>
              <w:rPr>
                <w:color w:val="FF0000"/>
              </w:rPr>
            </w:pPr>
            <w:r w:rsidRPr="00681AD1">
              <w:rPr>
                <w:b/>
              </w:rPr>
              <w:t xml:space="preserve">Permit No.: </w:t>
            </w:r>
            <w:r>
              <w:t>2500-00002</w:t>
            </w:r>
          </w:p>
          <w:p w14:paraId="6E04E0DA" w14:textId="77777777" w:rsidR="00EA6AF2" w:rsidRPr="00DF75A1" w:rsidRDefault="00EA6AF2" w:rsidP="00991620">
            <w:pPr>
              <w:pStyle w:val="ReferenceLine"/>
              <w:widowControl/>
              <w:spacing w:before="60" w:after="60"/>
              <w:ind w:right="168"/>
            </w:pPr>
            <w:r>
              <w:rPr>
                <w:b/>
              </w:rPr>
              <w:t xml:space="preserve">Permit Action: </w:t>
            </w:r>
            <w:r w:rsidRPr="00681AD1">
              <w:rPr>
                <w:b/>
              </w:rPr>
              <w:t xml:space="preserve"> </w:t>
            </w:r>
            <w:r w:rsidRPr="00DF75A1">
              <w:t xml:space="preserve">Renewal </w:t>
            </w:r>
            <w:r w:rsidR="000F12F1">
              <w:t>(with modifications)</w:t>
            </w:r>
          </w:p>
          <w:p w14:paraId="4C330002" w14:textId="77777777" w:rsidR="00EA6AF2" w:rsidRPr="00577CB8" w:rsidRDefault="00EA6AF2" w:rsidP="000C10C1">
            <w:pPr>
              <w:pStyle w:val="ReferenceLine"/>
              <w:widowControl/>
              <w:spacing w:before="60" w:after="60"/>
              <w:ind w:right="168"/>
              <w:rPr>
                <w:color w:val="FF0000"/>
              </w:rPr>
            </w:pPr>
            <w:r>
              <w:rPr>
                <w:b/>
              </w:rPr>
              <w:t xml:space="preserve">Permit Folder: </w:t>
            </w:r>
            <w:r>
              <w:t>PER20</w:t>
            </w:r>
            <w:r w:rsidR="000F12F1">
              <w:t>150</w:t>
            </w:r>
            <w:r>
              <w:t>00</w:t>
            </w:r>
            <w:r w:rsidR="000F12F1">
              <w:t>2</w:t>
            </w:r>
          </w:p>
          <w:p w14:paraId="5B942D75" w14:textId="77777777" w:rsidR="00EA6AF2" w:rsidRPr="00CB077D" w:rsidRDefault="00EA6AF2" w:rsidP="00CB37B4">
            <w:pPr>
              <w:pStyle w:val="ReferenceLine"/>
              <w:widowControl/>
              <w:spacing w:before="60" w:after="60"/>
              <w:ind w:right="168"/>
              <w:rPr>
                <w:color w:val="FF0000"/>
              </w:rPr>
            </w:pPr>
            <w:r>
              <w:rPr>
                <w:b/>
              </w:rPr>
              <w:t>Application Receipt Date:</w:t>
            </w:r>
            <w:r w:rsidR="000F12F1">
              <w:rPr>
                <w:b/>
              </w:rPr>
              <w:t xml:space="preserve">  </w:t>
            </w:r>
            <w:r w:rsidR="000F12F1">
              <w:rPr>
                <w:bCs/>
                <w:szCs w:val="32"/>
              </w:rPr>
              <w:t>07/29/2015</w:t>
            </w:r>
          </w:p>
          <w:p w14:paraId="5EA0CE73" w14:textId="77777777" w:rsidR="00EA6AF2" w:rsidRPr="00DF75A1" w:rsidRDefault="00EA6AF2" w:rsidP="000C10C1">
            <w:pPr>
              <w:pStyle w:val="ReferenceLine"/>
              <w:widowControl/>
              <w:spacing w:before="60" w:after="60"/>
              <w:ind w:right="168"/>
              <w:rPr>
                <w:color w:val="FF0000"/>
              </w:rPr>
            </w:pPr>
            <w:r>
              <w:rPr>
                <w:b/>
              </w:rPr>
              <w:t>Application Deemed Complete:</w:t>
            </w:r>
            <w:r w:rsidR="000F12F1">
              <w:rPr>
                <w:b/>
              </w:rPr>
              <w:t xml:space="preserve">  </w:t>
            </w:r>
            <w:r w:rsidR="000F12F1" w:rsidRPr="000F12F1">
              <w:t>09/02/2015</w:t>
            </w:r>
          </w:p>
          <w:p w14:paraId="5A1CEFA9" w14:textId="77777777" w:rsidR="00EA6AF2" w:rsidRPr="00577CB8" w:rsidRDefault="00EA6AF2" w:rsidP="000C10C1">
            <w:pPr>
              <w:pStyle w:val="ReferenceLine"/>
              <w:spacing w:before="60" w:after="60"/>
              <w:ind w:right="168"/>
              <w:rPr>
                <w:color w:val="FF0000"/>
              </w:rPr>
            </w:pPr>
            <w:r>
              <w:rPr>
                <w:b/>
              </w:rPr>
              <w:t>CBI Submitted?</w:t>
            </w:r>
            <w:r w:rsidR="000F12F1">
              <w:rPr>
                <w:b/>
              </w:rPr>
              <w:t>:</w:t>
            </w:r>
            <w:r>
              <w:rPr>
                <w:b/>
              </w:rPr>
              <w:t xml:space="preserve"> </w:t>
            </w:r>
            <w:r w:rsidRPr="00577CB8">
              <w:rPr>
                <w:color w:val="4F81BD" w:themeColor="accent1"/>
              </w:rPr>
              <w:t xml:space="preserve"> </w:t>
            </w:r>
            <w:r w:rsidRPr="00DF75A1">
              <w:t>No</w:t>
            </w:r>
          </w:p>
        </w:tc>
        <w:tc>
          <w:tcPr>
            <w:tcW w:w="4723" w:type="dxa"/>
          </w:tcPr>
          <w:p w14:paraId="23231717" w14:textId="77777777" w:rsidR="00EA6AF2" w:rsidRPr="00DF75A1" w:rsidRDefault="00EA6AF2" w:rsidP="00991620">
            <w:pPr>
              <w:pStyle w:val="ReferenceLine"/>
              <w:widowControl/>
              <w:spacing w:before="60" w:after="60"/>
            </w:pPr>
            <w:r>
              <w:rPr>
                <w:b/>
              </w:rPr>
              <w:t>NSPS (Part 60):</w:t>
            </w:r>
            <w:r w:rsidR="000F12F1">
              <w:rPr>
                <w:b/>
              </w:rPr>
              <w:t xml:space="preserve">  </w:t>
            </w:r>
            <w:r w:rsidR="00DF75A1" w:rsidRPr="00DF75A1">
              <w:t>KKKK</w:t>
            </w:r>
          </w:p>
          <w:p w14:paraId="14398807" w14:textId="77777777" w:rsidR="00EA6AF2" w:rsidRPr="00DF75A1" w:rsidRDefault="00EA6AF2" w:rsidP="00991620">
            <w:pPr>
              <w:pStyle w:val="ReferenceLine"/>
              <w:widowControl/>
              <w:spacing w:before="60" w:after="60"/>
              <w:rPr>
                <w:b/>
              </w:rPr>
            </w:pPr>
            <w:r w:rsidRPr="00DF75A1">
              <w:rPr>
                <w:b/>
              </w:rPr>
              <w:t xml:space="preserve">NESHAP (Part 61): </w:t>
            </w:r>
            <w:r w:rsidR="000F12F1">
              <w:rPr>
                <w:b/>
              </w:rPr>
              <w:t xml:space="preserve"> </w:t>
            </w:r>
            <w:r w:rsidRPr="00DF75A1">
              <w:t>N/A</w:t>
            </w:r>
          </w:p>
          <w:p w14:paraId="7E2430A2" w14:textId="77777777" w:rsidR="00EA6AF2" w:rsidRPr="00DF75A1" w:rsidRDefault="000F12F1" w:rsidP="000F12F1">
            <w:pPr>
              <w:pStyle w:val="ReferenceLine"/>
              <w:widowControl/>
              <w:tabs>
                <w:tab w:val="left" w:pos="2178"/>
              </w:tabs>
              <w:spacing w:before="60" w:after="60"/>
              <w:ind w:left="2178" w:hanging="2178"/>
              <w:rPr>
                <w:b/>
              </w:rPr>
            </w:pPr>
            <w:r>
              <w:rPr>
                <w:b/>
              </w:rPr>
              <w:t xml:space="preserve">NESHAP (Part 63):  </w:t>
            </w:r>
            <w:r w:rsidR="00DF75A1" w:rsidRPr="00DF75A1">
              <w:t>DDDD, YYYY, ZZZZ, DDDDD</w:t>
            </w:r>
          </w:p>
          <w:p w14:paraId="4D6AAA9E" w14:textId="77777777" w:rsidR="00EA6AF2" w:rsidRPr="00DF75A1" w:rsidRDefault="00EA6AF2" w:rsidP="00991620">
            <w:pPr>
              <w:pStyle w:val="ReferenceLine"/>
              <w:widowControl/>
              <w:spacing w:before="60" w:after="60"/>
              <w:rPr>
                <w:b/>
              </w:rPr>
            </w:pPr>
            <w:r w:rsidRPr="00DF75A1">
              <w:rPr>
                <w:b/>
              </w:rPr>
              <w:t xml:space="preserve">112(r) / RMP: </w:t>
            </w:r>
            <w:r w:rsidR="00DF75A1" w:rsidRPr="00DF75A1">
              <w:t>N/A</w:t>
            </w:r>
          </w:p>
          <w:p w14:paraId="10203B4E" w14:textId="77777777" w:rsidR="00EA6AF2" w:rsidRPr="00577CB8" w:rsidRDefault="00EA6AF2" w:rsidP="000C10C1">
            <w:pPr>
              <w:pStyle w:val="ReferenceLine"/>
              <w:spacing w:before="60" w:after="60"/>
            </w:pPr>
            <w:r w:rsidRPr="00DF75A1">
              <w:rPr>
                <w:b/>
              </w:rPr>
              <w:t xml:space="preserve">Other: </w:t>
            </w:r>
            <w:r w:rsidRPr="00DF75A1">
              <w:t>N/A</w:t>
            </w:r>
          </w:p>
        </w:tc>
      </w:tr>
    </w:tbl>
    <w:p w14:paraId="0B9A271C" w14:textId="77777777" w:rsidR="00681AD1" w:rsidRDefault="00681AD1" w:rsidP="00681AD1">
      <w:pPr>
        <w:pStyle w:val="ReferenceLine"/>
        <w:widowControl/>
        <w:spacing w:after="0"/>
        <w:rPr>
          <w:b/>
        </w:rPr>
      </w:pPr>
    </w:p>
    <w:p w14:paraId="33DB0C14" w14:textId="77777777" w:rsidR="00531513" w:rsidRDefault="00531513" w:rsidP="00104CE2">
      <w:pPr>
        <w:jc w:val="both"/>
        <w:rPr>
          <w:sz w:val="24"/>
          <w:szCs w:val="24"/>
        </w:rPr>
      </w:pPr>
      <w:r>
        <w:rPr>
          <w:sz w:val="24"/>
          <w:szCs w:val="24"/>
          <w:u w:val="single"/>
        </w:rPr>
        <w:t>FACILITY DESCRIPTION</w:t>
      </w:r>
    </w:p>
    <w:p w14:paraId="69CB3E1C" w14:textId="4587ABC0" w:rsidR="000F73A9" w:rsidRDefault="000F73A9" w:rsidP="00FE4C6C">
      <w:pPr>
        <w:spacing w:before="120"/>
        <w:jc w:val="both"/>
        <w:rPr>
          <w:color w:val="000000" w:themeColor="text1"/>
          <w:sz w:val="24"/>
          <w:szCs w:val="24"/>
        </w:rPr>
      </w:pPr>
      <w:r w:rsidRPr="000F73A9">
        <w:rPr>
          <w:color w:val="000000" w:themeColor="text1"/>
          <w:sz w:val="24"/>
          <w:szCs w:val="24"/>
        </w:rPr>
        <w:t>Georgia Pacific Wood Products, LLC – Taylorsville (i.e. “GP – Taylorsville”) is an existing facility that primarily manufactures plywood panels (at ⅜-inch thickness)</w:t>
      </w:r>
      <w:r>
        <w:rPr>
          <w:color w:val="000000" w:themeColor="text1"/>
          <w:sz w:val="24"/>
          <w:szCs w:val="24"/>
        </w:rPr>
        <w:t xml:space="preserve">.  The facility also manufactures kiln-dried dimensional softwood lumber as a secondary product.  On-site operations </w:t>
      </w:r>
      <w:proofErr w:type="gramStart"/>
      <w:r>
        <w:rPr>
          <w:color w:val="000000" w:themeColor="text1"/>
          <w:sz w:val="24"/>
          <w:szCs w:val="24"/>
        </w:rPr>
        <w:t>are generally separated</w:t>
      </w:r>
      <w:proofErr w:type="gramEnd"/>
      <w:r>
        <w:rPr>
          <w:color w:val="000000" w:themeColor="text1"/>
          <w:sz w:val="24"/>
          <w:szCs w:val="24"/>
        </w:rPr>
        <w:t xml:space="preserve"> into two (2) distinct functions:  </w:t>
      </w:r>
      <w:proofErr w:type="spellStart"/>
      <w:r>
        <w:rPr>
          <w:color w:val="000000" w:themeColor="text1"/>
          <w:sz w:val="24"/>
          <w:szCs w:val="24"/>
        </w:rPr>
        <w:t>Studmill</w:t>
      </w:r>
      <w:proofErr w:type="spellEnd"/>
      <w:r>
        <w:rPr>
          <w:color w:val="000000" w:themeColor="text1"/>
          <w:sz w:val="24"/>
          <w:szCs w:val="24"/>
        </w:rPr>
        <w:t xml:space="preserve"> Operations and Plywood Mill Operations.</w:t>
      </w:r>
    </w:p>
    <w:p w14:paraId="756B29DD" w14:textId="5C4977F9" w:rsidR="00DF75A1" w:rsidRPr="00523BEE" w:rsidRDefault="00DF75A1" w:rsidP="00FE4C6C">
      <w:pPr>
        <w:spacing w:before="120"/>
        <w:jc w:val="both"/>
        <w:rPr>
          <w:color w:val="000000" w:themeColor="text1"/>
          <w:sz w:val="24"/>
          <w:szCs w:val="24"/>
        </w:rPr>
      </w:pPr>
      <w:r w:rsidRPr="00523BEE">
        <w:rPr>
          <w:color w:val="000000" w:themeColor="text1"/>
          <w:sz w:val="24"/>
          <w:szCs w:val="24"/>
        </w:rPr>
        <w:t xml:space="preserve">The </w:t>
      </w:r>
      <w:r w:rsidR="000F73A9">
        <w:rPr>
          <w:color w:val="000000" w:themeColor="text1"/>
          <w:sz w:val="24"/>
          <w:szCs w:val="24"/>
        </w:rPr>
        <w:t>Plywood Mill Operations receive</w:t>
      </w:r>
      <w:r w:rsidR="00155456" w:rsidRPr="00523BEE">
        <w:rPr>
          <w:color w:val="000000" w:themeColor="text1"/>
          <w:sz w:val="24"/>
          <w:szCs w:val="24"/>
        </w:rPr>
        <w:t xml:space="preserve"> logs</w:t>
      </w:r>
      <w:r w:rsidR="000F73A9">
        <w:rPr>
          <w:color w:val="000000" w:themeColor="text1"/>
          <w:sz w:val="24"/>
          <w:szCs w:val="24"/>
        </w:rPr>
        <w:t>,</w:t>
      </w:r>
      <w:r w:rsidR="00155456" w:rsidRPr="00523BEE">
        <w:rPr>
          <w:color w:val="000000" w:themeColor="text1"/>
          <w:sz w:val="24"/>
          <w:szCs w:val="24"/>
        </w:rPr>
        <w:t xml:space="preserve"> which are debarked and cut to the desired length.  </w:t>
      </w:r>
      <w:r w:rsidR="00694DF8" w:rsidRPr="00523BEE">
        <w:rPr>
          <w:color w:val="000000" w:themeColor="text1"/>
          <w:sz w:val="24"/>
          <w:szCs w:val="24"/>
        </w:rPr>
        <w:t xml:space="preserve">The waste materials generated in this area are routed </w:t>
      </w:r>
      <w:proofErr w:type="gramStart"/>
      <w:r w:rsidR="00694DF8" w:rsidRPr="00523BEE">
        <w:rPr>
          <w:color w:val="000000" w:themeColor="text1"/>
          <w:sz w:val="24"/>
          <w:szCs w:val="24"/>
        </w:rPr>
        <w:t>to either</w:t>
      </w:r>
      <w:proofErr w:type="gramEnd"/>
      <w:r w:rsidR="00694DF8" w:rsidRPr="00523BEE">
        <w:rPr>
          <w:color w:val="000000" w:themeColor="text1"/>
          <w:sz w:val="24"/>
          <w:szCs w:val="24"/>
        </w:rPr>
        <w:t xml:space="preserve"> the truck load</w:t>
      </w:r>
      <w:r w:rsidR="006A5206">
        <w:rPr>
          <w:color w:val="000000" w:themeColor="text1"/>
          <w:sz w:val="24"/>
          <w:szCs w:val="24"/>
        </w:rPr>
        <w:t>-</w:t>
      </w:r>
      <w:r w:rsidR="00694DF8" w:rsidRPr="00523BEE">
        <w:rPr>
          <w:color w:val="000000" w:themeColor="text1"/>
          <w:sz w:val="24"/>
          <w:szCs w:val="24"/>
        </w:rPr>
        <w:t>out area to be shipped off</w:t>
      </w:r>
      <w:r w:rsidR="006A5206">
        <w:rPr>
          <w:color w:val="000000" w:themeColor="text1"/>
          <w:sz w:val="24"/>
          <w:szCs w:val="24"/>
        </w:rPr>
        <w:t>-</w:t>
      </w:r>
      <w:r w:rsidR="00694DF8" w:rsidRPr="00523BEE">
        <w:rPr>
          <w:color w:val="000000" w:themeColor="text1"/>
          <w:sz w:val="24"/>
          <w:szCs w:val="24"/>
        </w:rPr>
        <w:t xml:space="preserve">site (chips) or to the boiler fuel house </w:t>
      </w:r>
      <w:r w:rsidR="006A5206">
        <w:rPr>
          <w:color w:val="000000" w:themeColor="text1"/>
          <w:sz w:val="24"/>
          <w:szCs w:val="24"/>
        </w:rPr>
        <w:t>for use as a fuel source in the wood-fired boiler</w:t>
      </w:r>
      <w:r w:rsidR="00694DF8" w:rsidRPr="00523BEE">
        <w:rPr>
          <w:color w:val="000000" w:themeColor="text1"/>
          <w:sz w:val="24"/>
          <w:szCs w:val="24"/>
        </w:rPr>
        <w:t xml:space="preserve"> (fines</w:t>
      </w:r>
      <w:r w:rsidR="006A5206">
        <w:rPr>
          <w:color w:val="000000" w:themeColor="text1"/>
          <w:sz w:val="24"/>
          <w:szCs w:val="24"/>
        </w:rPr>
        <w:t xml:space="preserve">).  The processed logs are </w:t>
      </w:r>
      <w:r w:rsidR="00694DF8" w:rsidRPr="00523BEE">
        <w:rPr>
          <w:color w:val="000000" w:themeColor="text1"/>
          <w:sz w:val="24"/>
          <w:szCs w:val="24"/>
        </w:rPr>
        <w:t xml:space="preserve">soaked in log vats prior to </w:t>
      </w:r>
      <w:proofErr w:type="gramStart"/>
      <w:r w:rsidR="00694DF8" w:rsidRPr="00523BEE">
        <w:rPr>
          <w:color w:val="000000" w:themeColor="text1"/>
          <w:sz w:val="24"/>
          <w:szCs w:val="24"/>
        </w:rPr>
        <w:t>being peeled</w:t>
      </w:r>
      <w:proofErr w:type="gramEnd"/>
      <w:r w:rsidR="006A5206">
        <w:rPr>
          <w:color w:val="000000" w:themeColor="text1"/>
          <w:sz w:val="24"/>
          <w:szCs w:val="24"/>
        </w:rPr>
        <w:t xml:space="preserve"> by</w:t>
      </w:r>
      <w:r w:rsidR="00694DF8" w:rsidRPr="00523BEE">
        <w:rPr>
          <w:color w:val="000000" w:themeColor="text1"/>
          <w:sz w:val="24"/>
          <w:szCs w:val="24"/>
        </w:rPr>
        <w:t xml:space="preserve"> lathes.  The peeled veneer sheets </w:t>
      </w:r>
      <w:proofErr w:type="gramStart"/>
      <w:r w:rsidR="00694DF8" w:rsidRPr="00523BEE">
        <w:rPr>
          <w:color w:val="000000" w:themeColor="text1"/>
          <w:sz w:val="24"/>
          <w:szCs w:val="24"/>
        </w:rPr>
        <w:t xml:space="preserve">are </w:t>
      </w:r>
      <w:r w:rsidR="006A5206">
        <w:rPr>
          <w:color w:val="000000" w:themeColor="text1"/>
          <w:sz w:val="24"/>
          <w:szCs w:val="24"/>
        </w:rPr>
        <w:t xml:space="preserve">then </w:t>
      </w:r>
      <w:r w:rsidR="00694DF8" w:rsidRPr="00523BEE">
        <w:rPr>
          <w:color w:val="000000" w:themeColor="text1"/>
          <w:sz w:val="24"/>
          <w:szCs w:val="24"/>
        </w:rPr>
        <w:t>cut</w:t>
      </w:r>
      <w:proofErr w:type="gramEnd"/>
      <w:r w:rsidR="00694DF8" w:rsidRPr="00523BEE">
        <w:rPr>
          <w:color w:val="000000" w:themeColor="text1"/>
          <w:sz w:val="24"/>
          <w:szCs w:val="24"/>
        </w:rPr>
        <w:t xml:space="preserve"> into manageable widths.  Reject logs and the log cores that remain after the veneer is peeled are </w:t>
      </w:r>
      <w:proofErr w:type="gramStart"/>
      <w:r w:rsidR="00694DF8" w:rsidRPr="00523BEE">
        <w:rPr>
          <w:color w:val="000000" w:themeColor="text1"/>
          <w:sz w:val="24"/>
          <w:szCs w:val="24"/>
        </w:rPr>
        <w:t>sent to either</w:t>
      </w:r>
      <w:proofErr w:type="gramEnd"/>
      <w:r w:rsidR="00694DF8" w:rsidRPr="00523BEE">
        <w:rPr>
          <w:color w:val="000000" w:themeColor="text1"/>
          <w:sz w:val="24"/>
          <w:szCs w:val="24"/>
        </w:rPr>
        <w:t xml:space="preserve"> the core chipper or transported to </w:t>
      </w:r>
      <w:r w:rsidR="006A5206">
        <w:rPr>
          <w:color w:val="000000" w:themeColor="text1"/>
          <w:sz w:val="24"/>
          <w:szCs w:val="24"/>
        </w:rPr>
        <w:t xml:space="preserve">the </w:t>
      </w:r>
      <w:proofErr w:type="spellStart"/>
      <w:r w:rsidR="006A5206">
        <w:rPr>
          <w:color w:val="000000" w:themeColor="text1"/>
          <w:sz w:val="24"/>
          <w:szCs w:val="24"/>
        </w:rPr>
        <w:t>Studmill</w:t>
      </w:r>
      <w:proofErr w:type="spellEnd"/>
      <w:r w:rsidR="006A5206">
        <w:rPr>
          <w:color w:val="000000" w:themeColor="text1"/>
          <w:sz w:val="24"/>
          <w:szCs w:val="24"/>
        </w:rPr>
        <w:t xml:space="preserve"> Operations</w:t>
      </w:r>
      <w:r w:rsidR="00694DF8" w:rsidRPr="00523BEE">
        <w:rPr>
          <w:color w:val="000000" w:themeColor="text1"/>
          <w:sz w:val="24"/>
          <w:szCs w:val="24"/>
        </w:rPr>
        <w:t xml:space="preserve"> </w:t>
      </w:r>
      <w:r w:rsidR="006A5206">
        <w:rPr>
          <w:color w:val="000000" w:themeColor="text1"/>
          <w:sz w:val="24"/>
          <w:szCs w:val="24"/>
        </w:rPr>
        <w:t>for the production of dimensional lumber</w:t>
      </w:r>
      <w:r w:rsidR="00694DF8" w:rsidRPr="00523BEE">
        <w:rPr>
          <w:color w:val="000000" w:themeColor="text1"/>
          <w:sz w:val="24"/>
          <w:szCs w:val="24"/>
        </w:rPr>
        <w:t>.</w:t>
      </w:r>
      <w:r w:rsidR="00155456" w:rsidRPr="00523BEE">
        <w:rPr>
          <w:color w:val="000000" w:themeColor="text1"/>
          <w:sz w:val="24"/>
          <w:szCs w:val="24"/>
        </w:rPr>
        <w:t xml:space="preserve">  </w:t>
      </w:r>
    </w:p>
    <w:p w14:paraId="36192279" w14:textId="4A111C01" w:rsidR="00694DF8" w:rsidRPr="00523BEE" w:rsidRDefault="00694DF8" w:rsidP="006A5206">
      <w:pPr>
        <w:spacing w:before="120"/>
        <w:jc w:val="both"/>
        <w:rPr>
          <w:color w:val="000000" w:themeColor="text1"/>
          <w:sz w:val="24"/>
          <w:szCs w:val="24"/>
        </w:rPr>
      </w:pPr>
      <w:r w:rsidRPr="00523BEE">
        <w:rPr>
          <w:color w:val="000000" w:themeColor="text1"/>
          <w:sz w:val="24"/>
          <w:szCs w:val="24"/>
        </w:rPr>
        <w:t>The quality vene</w:t>
      </w:r>
      <w:r w:rsidR="006A5206">
        <w:rPr>
          <w:color w:val="000000" w:themeColor="text1"/>
          <w:sz w:val="24"/>
          <w:szCs w:val="24"/>
        </w:rPr>
        <w:t xml:space="preserve">er product </w:t>
      </w:r>
      <w:proofErr w:type="gramStart"/>
      <w:r w:rsidR="006A5206">
        <w:rPr>
          <w:color w:val="000000" w:themeColor="text1"/>
          <w:sz w:val="24"/>
          <w:szCs w:val="24"/>
        </w:rPr>
        <w:t>is routed</w:t>
      </w:r>
      <w:proofErr w:type="gramEnd"/>
      <w:r w:rsidR="006A5206">
        <w:rPr>
          <w:color w:val="000000" w:themeColor="text1"/>
          <w:sz w:val="24"/>
          <w:szCs w:val="24"/>
        </w:rPr>
        <w:t xml:space="preserve"> through</w:t>
      </w:r>
      <w:r w:rsidRPr="00523BEE">
        <w:rPr>
          <w:color w:val="000000" w:themeColor="text1"/>
          <w:sz w:val="24"/>
          <w:szCs w:val="24"/>
        </w:rPr>
        <w:t xml:space="preserve"> dryers</w:t>
      </w:r>
      <w:r w:rsidR="006A5206">
        <w:rPr>
          <w:color w:val="000000" w:themeColor="text1"/>
          <w:sz w:val="24"/>
          <w:szCs w:val="24"/>
        </w:rPr>
        <w:t xml:space="preserve"> (four in total)</w:t>
      </w:r>
      <w:r w:rsidR="00550387">
        <w:rPr>
          <w:color w:val="000000" w:themeColor="text1"/>
          <w:sz w:val="24"/>
          <w:szCs w:val="24"/>
        </w:rPr>
        <w:t>.  Afterwards, the dried veneer</w:t>
      </w:r>
      <w:r w:rsidRPr="00523BEE">
        <w:rPr>
          <w:color w:val="000000" w:themeColor="text1"/>
          <w:sz w:val="24"/>
          <w:szCs w:val="24"/>
        </w:rPr>
        <w:t xml:space="preserve"> </w:t>
      </w:r>
      <w:proofErr w:type="gramStart"/>
      <w:r w:rsidR="00550387">
        <w:rPr>
          <w:color w:val="000000" w:themeColor="text1"/>
          <w:sz w:val="24"/>
          <w:szCs w:val="24"/>
        </w:rPr>
        <w:t xml:space="preserve">is </w:t>
      </w:r>
      <w:r w:rsidR="008549E8" w:rsidRPr="00523BEE">
        <w:rPr>
          <w:color w:val="000000" w:themeColor="text1"/>
          <w:sz w:val="24"/>
          <w:szCs w:val="24"/>
        </w:rPr>
        <w:t>sent</w:t>
      </w:r>
      <w:proofErr w:type="gramEnd"/>
      <w:r w:rsidR="008549E8" w:rsidRPr="00523BEE">
        <w:rPr>
          <w:color w:val="000000" w:themeColor="text1"/>
          <w:sz w:val="24"/>
          <w:szCs w:val="24"/>
        </w:rPr>
        <w:t xml:space="preserve"> to </w:t>
      </w:r>
      <w:r w:rsidRPr="00523BEE">
        <w:rPr>
          <w:color w:val="000000" w:themeColor="text1"/>
          <w:sz w:val="24"/>
          <w:szCs w:val="24"/>
        </w:rPr>
        <w:t>the lay</w:t>
      </w:r>
      <w:r w:rsidR="006A5206">
        <w:rPr>
          <w:color w:val="000000" w:themeColor="text1"/>
          <w:sz w:val="24"/>
          <w:szCs w:val="24"/>
        </w:rPr>
        <w:t>-up /</w:t>
      </w:r>
      <w:r w:rsidRPr="00523BEE">
        <w:rPr>
          <w:color w:val="000000" w:themeColor="text1"/>
          <w:sz w:val="24"/>
          <w:szCs w:val="24"/>
        </w:rPr>
        <w:t xml:space="preserve"> gluing </w:t>
      </w:r>
      <w:r w:rsidR="008549E8" w:rsidRPr="00523BEE">
        <w:rPr>
          <w:color w:val="000000" w:themeColor="text1"/>
          <w:sz w:val="24"/>
          <w:szCs w:val="24"/>
        </w:rPr>
        <w:t>lines where glue is applied to the top side of the veneer and then additional layers of veneer are added to the desired thickness.  Once the plywood is tri</w:t>
      </w:r>
      <w:r w:rsidR="00550387">
        <w:rPr>
          <w:color w:val="000000" w:themeColor="text1"/>
          <w:sz w:val="24"/>
          <w:szCs w:val="24"/>
        </w:rPr>
        <w:t xml:space="preserve">mmed, the sheets </w:t>
      </w:r>
      <w:proofErr w:type="gramStart"/>
      <w:r w:rsidR="00550387">
        <w:rPr>
          <w:color w:val="000000" w:themeColor="text1"/>
          <w:sz w:val="24"/>
          <w:szCs w:val="24"/>
        </w:rPr>
        <w:t>are sent</w:t>
      </w:r>
      <w:proofErr w:type="gramEnd"/>
      <w:r w:rsidR="00550387">
        <w:rPr>
          <w:color w:val="000000" w:themeColor="text1"/>
          <w:sz w:val="24"/>
          <w:szCs w:val="24"/>
        </w:rPr>
        <w:t xml:space="preserve"> to</w:t>
      </w:r>
      <w:r w:rsidR="008549E8" w:rsidRPr="00523BEE">
        <w:rPr>
          <w:color w:val="000000" w:themeColor="text1"/>
          <w:sz w:val="24"/>
          <w:szCs w:val="24"/>
        </w:rPr>
        <w:t xml:space="preserve"> presses where the plywood is bonded under heat and pressure.  </w:t>
      </w:r>
    </w:p>
    <w:p w14:paraId="7D4C5EB6" w14:textId="77777777" w:rsidR="008549E8" w:rsidRPr="00523BEE" w:rsidRDefault="008549E8" w:rsidP="00104CE2">
      <w:pPr>
        <w:jc w:val="both"/>
        <w:rPr>
          <w:color w:val="000000" w:themeColor="text1"/>
          <w:sz w:val="24"/>
          <w:szCs w:val="24"/>
        </w:rPr>
      </w:pPr>
    </w:p>
    <w:p w14:paraId="75DA5563" w14:textId="5880E727" w:rsidR="008549E8" w:rsidRPr="00523BEE" w:rsidRDefault="008549E8" w:rsidP="00104CE2">
      <w:pPr>
        <w:jc w:val="both"/>
        <w:rPr>
          <w:color w:val="000000" w:themeColor="text1"/>
          <w:sz w:val="24"/>
          <w:szCs w:val="24"/>
        </w:rPr>
      </w:pPr>
      <w:r w:rsidRPr="00523BEE">
        <w:rPr>
          <w:color w:val="000000" w:themeColor="text1"/>
          <w:sz w:val="24"/>
          <w:szCs w:val="24"/>
        </w:rPr>
        <w:t xml:space="preserve">Bonded plywood panels </w:t>
      </w:r>
      <w:proofErr w:type="gramStart"/>
      <w:r w:rsidR="00FE4C6C" w:rsidRPr="00523BEE">
        <w:rPr>
          <w:color w:val="000000" w:themeColor="text1"/>
          <w:sz w:val="24"/>
          <w:szCs w:val="24"/>
        </w:rPr>
        <w:t>are sent</w:t>
      </w:r>
      <w:proofErr w:type="gramEnd"/>
      <w:r w:rsidR="00FE4C6C" w:rsidRPr="00523BEE">
        <w:rPr>
          <w:color w:val="000000" w:themeColor="text1"/>
          <w:sz w:val="24"/>
          <w:szCs w:val="24"/>
        </w:rPr>
        <w:t xml:space="preserve"> </w:t>
      </w:r>
      <w:r w:rsidRPr="00523BEE">
        <w:rPr>
          <w:color w:val="000000" w:themeColor="text1"/>
          <w:sz w:val="24"/>
          <w:szCs w:val="24"/>
        </w:rPr>
        <w:t>to the patch line, specialty machine, tongue and groove machine, or the sanders for further processing.  Wood</w:t>
      </w:r>
      <w:r w:rsidR="00FE4C6C" w:rsidRPr="00523BEE">
        <w:rPr>
          <w:color w:val="000000" w:themeColor="text1"/>
          <w:sz w:val="24"/>
          <w:szCs w:val="24"/>
        </w:rPr>
        <w:t xml:space="preserve"> </w:t>
      </w:r>
      <w:r w:rsidRPr="00523BEE">
        <w:rPr>
          <w:color w:val="000000" w:themeColor="text1"/>
          <w:sz w:val="24"/>
          <w:szCs w:val="24"/>
        </w:rPr>
        <w:t>waste from these processes (sawdust</w:t>
      </w:r>
      <w:r w:rsidR="00FE4C6C" w:rsidRPr="00523BEE">
        <w:rPr>
          <w:color w:val="000000" w:themeColor="text1"/>
          <w:sz w:val="24"/>
          <w:szCs w:val="24"/>
        </w:rPr>
        <w:t xml:space="preserve"> and </w:t>
      </w:r>
      <w:r w:rsidRPr="00523BEE">
        <w:rPr>
          <w:color w:val="000000" w:themeColor="text1"/>
          <w:sz w:val="24"/>
          <w:szCs w:val="24"/>
        </w:rPr>
        <w:t>sander</w:t>
      </w:r>
      <w:r w:rsidR="00FE4C6C" w:rsidRPr="00523BEE">
        <w:rPr>
          <w:color w:val="000000" w:themeColor="text1"/>
          <w:sz w:val="24"/>
          <w:szCs w:val="24"/>
        </w:rPr>
        <w:t xml:space="preserve"> </w:t>
      </w:r>
      <w:r w:rsidRPr="00523BEE">
        <w:rPr>
          <w:color w:val="000000" w:themeColor="text1"/>
          <w:sz w:val="24"/>
          <w:szCs w:val="24"/>
        </w:rPr>
        <w:t xml:space="preserve">dust) </w:t>
      </w:r>
      <w:proofErr w:type="gramStart"/>
      <w:r w:rsidRPr="00523BEE">
        <w:rPr>
          <w:color w:val="000000" w:themeColor="text1"/>
          <w:sz w:val="24"/>
          <w:szCs w:val="24"/>
        </w:rPr>
        <w:t>is sent</w:t>
      </w:r>
      <w:proofErr w:type="gramEnd"/>
      <w:r w:rsidRPr="00523BEE">
        <w:rPr>
          <w:color w:val="000000" w:themeColor="text1"/>
          <w:sz w:val="24"/>
          <w:szCs w:val="24"/>
        </w:rPr>
        <w:t xml:space="preserve"> to the boiler fuel house.  Some of the</w:t>
      </w:r>
      <w:r w:rsidR="00FE4C6C" w:rsidRPr="00523BEE">
        <w:rPr>
          <w:color w:val="000000" w:themeColor="text1"/>
          <w:sz w:val="24"/>
          <w:szCs w:val="24"/>
        </w:rPr>
        <w:t xml:space="preserve"> </w:t>
      </w:r>
      <w:r w:rsidRPr="00523BEE">
        <w:rPr>
          <w:color w:val="000000" w:themeColor="text1"/>
          <w:sz w:val="24"/>
          <w:szCs w:val="24"/>
        </w:rPr>
        <w:t xml:space="preserve">plywood panels are oil coated for concrete release or </w:t>
      </w:r>
      <w:r w:rsidRPr="00523BEE">
        <w:rPr>
          <w:color w:val="000000" w:themeColor="text1"/>
          <w:sz w:val="24"/>
          <w:szCs w:val="24"/>
        </w:rPr>
        <w:lastRenderedPageBreak/>
        <w:t xml:space="preserve">the edges of these panels </w:t>
      </w:r>
      <w:proofErr w:type="gramStart"/>
      <w:r w:rsidRPr="00523BEE">
        <w:rPr>
          <w:color w:val="000000" w:themeColor="text1"/>
          <w:sz w:val="24"/>
          <w:szCs w:val="24"/>
        </w:rPr>
        <w:t>are painted</w:t>
      </w:r>
      <w:proofErr w:type="gramEnd"/>
      <w:r w:rsidRPr="00523BEE">
        <w:rPr>
          <w:color w:val="000000" w:themeColor="text1"/>
          <w:sz w:val="24"/>
          <w:szCs w:val="24"/>
        </w:rPr>
        <w:t xml:space="preserve"> in the edge seal paint booth.  Finished panels are bundled and stored in the warehouse prior to shipment offsite.</w:t>
      </w:r>
    </w:p>
    <w:p w14:paraId="540ABF1C" w14:textId="77777777" w:rsidR="00FE4C6C" w:rsidRPr="00523BEE" w:rsidRDefault="00FE4C6C" w:rsidP="00104CE2">
      <w:pPr>
        <w:jc w:val="both"/>
        <w:rPr>
          <w:color w:val="000000" w:themeColor="text1"/>
          <w:sz w:val="24"/>
          <w:szCs w:val="24"/>
        </w:rPr>
      </w:pPr>
    </w:p>
    <w:p w14:paraId="3B5270A9" w14:textId="2C821F0D" w:rsidR="00FE4C6C" w:rsidRPr="00523BEE" w:rsidRDefault="00FE4C6C" w:rsidP="00104CE2">
      <w:pPr>
        <w:jc w:val="both"/>
        <w:rPr>
          <w:color w:val="000000" w:themeColor="text1"/>
          <w:sz w:val="24"/>
          <w:szCs w:val="24"/>
        </w:rPr>
      </w:pPr>
      <w:r w:rsidRPr="00523BEE">
        <w:rPr>
          <w:color w:val="000000" w:themeColor="text1"/>
          <w:sz w:val="24"/>
          <w:szCs w:val="24"/>
        </w:rPr>
        <w:t xml:space="preserve">The </w:t>
      </w:r>
      <w:proofErr w:type="spellStart"/>
      <w:r w:rsidR="00550387">
        <w:rPr>
          <w:color w:val="000000" w:themeColor="text1"/>
          <w:sz w:val="24"/>
          <w:szCs w:val="24"/>
        </w:rPr>
        <w:t>Studmill</w:t>
      </w:r>
      <w:proofErr w:type="spellEnd"/>
      <w:r w:rsidR="00550387">
        <w:rPr>
          <w:color w:val="000000" w:themeColor="text1"/>
          <w:sz w:val="24"/>
          <w:szCs w:val="24"/>
        </w:rPr>
        <w:t xml:space="preserve"> Operations</w:t>
      </w:r>
      <w:r w:rsidRPr="00523BEE">
        <w:rPr>
          <w:color w:val="000000" w:themeColor="text1"/>
          <w:sz w:val="24"/>
          <w:szCs w:val="24"/>
        </w:rPr>
        <w:t xml:space="preserve"> receives log cores from the </w:t>
      </w:r>
      <w:r w:rsidR="000A38ED">
        <w:rPr>
          <w:color w:val="000000" w:themeColor="text1"/>
          <w:sz w:val="24"/>
          <w:szCs w:val="24"/>
        </w:rPr>
        <w:t>Plywood Mill Operations</w:t>
      </w:r>
      <w:r w:rsidRPr="00523BEE">
        <w:rPr>
          <w:color w:val="000000" w:themeColor="text1"/>
          <w:sz w:val="24"/>
          <w:szCs w:val="24"/>
        </w:rPr>
        <w:t xml:space="preserve"> and other nearby plants.  The log cores </w:t>
      </w:r>
      <w:proofErr w:type="gramStart"/>
      <w:r w:rsidRPr="00523BEE">
        <w:rPr>
          <w:color w:val="000000" w:themeColor="text1"/>
          <w:sz w:val="24"/>
          <w:szCs w:val="24"/>
        </w:rPr>
        <w:t>are trimmed to the desired length and then cut into green lumber</w:t>
      </w:r>
      <w:proofErr w:type="gramEnd"/>
      <w:r w:rsidRPr="00523BEE">
        <w:rPr>
          <w:color w:val="000000" w:themeColor="text1"/>
          <w:sz w:val="24"/>
          <w:szCs w:val="24"/>
        </w:rPr>
        <w:t xml:space="preserve">.  Rejected log cores </w:t>
      </w:r>
      <w:proofErr w:type="gramStart"/>
      <w:r w:rsidRPr="00523BEE">
        <w:rPr>
          <w:color w:val="000000" w:themeColor="text1"/>
          <w:sz w:val="24"/>
          <w:szCs w:val="24"/>
        </w:rPr>
        <w:t>are sent</w:t>
      </w:r>
      <w:proofErr w:type="gramEnd"/>
      <w:r w:rsidRPr="00523BEE">
        <w:rPr>
          <w:color w:val="000000" w:themeColor="text1"/>
          <w:sz w:val="24"/>
          <w:szCs w:val="24"/>
        </w:rPr>
        <w:t xml:space="preserve"> to the core chipper and </w:t>
      </w:r>
      <w:proofErr w:type="spellStart"/>
      <w:r w:rsidR="000879F8">
        <w:rPr>
          <w:color w:val="000000" w:themeColor="text1"/>
          <w:sz w:val="24"/>
          <w:szCs w:val="24"/>
        </w:rPr>
        <w:t>l</w:t>
      </w:r>
      <w:r w:rsidRPr="00523BEE">
        <w:rPr>
          <w:color w:val="000000" w:themeColor="text1"/>
          <w:sz w:val="24"/>
          <w:szCs w:val="24"/>
        </w:rPr>
        <w:t>ilypads</w:t>
      </w:r>
      <w:proofErr w:type="spellEnd"/>
      <w:r w:rsidRPr="00523BEE">
        <w:rPr>
          <w:color w:val="000000" w:themeColor="text1"/>
          <w:sz w:val="24"/>
          <w:szCs w:val="24"/>
        </w:rPr>
        <w:t xml:space="preserve"> generated by the trim saw are sent to the </w:t>
      </w:r>
      <w:proofErr w:type="spellStart"/>
      <w:r w:rsidRPr="00523BEE">
        <w:rPr>
          <w:color w:val="000000" w:themeColor="text1"/>
          <w:sz w:val="24"/>
          <w:szCs w:val="24"/>
        </w:rPr>
        <w:t>Lilypad</w:t>
      </w:r>
      <w:proofErr w:type="spellEnd"/>
      <w:r w:rsidRPr="00523BEE">
        <w:rPr>
          <w:color w:val="000000" w:themeColor="text1"/>
          <w:sz w:val="24"/>
          <w:szCs w:val="24"/>
        </w:rPr>
        <w:t xml:space="preserve"> </w:t>
      </w:r>
      <w:r w:rsidR="000879F8">
        <w:rPr>
          <w:color w:val="000000" w:themeColor="text1"/>
          <w:sz w:val="24"/>
          <w:szCs w:val="24"/>
        </w:rPr>
        <w:t>C</w:t>
      </w:r>
      <w:r w:rsidRPr="00523BEE">
        <w:rPr>
          <w:color w:val="000000" w:themeColor="text1"/>
          <w:sz w:val="24"/>
          <w:szCs w:val="24"/>
        </w:rPr>
        <w:t xml:space="preserve">hipper.  The chips and sawdust generated from these chippers </w:t>
      </w:r>
      <w:proofErr w:type="gramStart"/>
      <w:r w:rsidRPr="00523BEE">
        <w:rPr>
          <w:color w:val="000000" w:themeColor="text1"/>
          <w:sz w:val="24"/>
          <w:szCs w:val="24"/>
        </w:rPr>
        <w:t>are sent</w:t>
      </w:r>
      <w:proofErr w:type="gramEnd"/>
      <w:r w:rsidRPr="00523BEE">
        <w:rPr>
          <w:color w:val="000000" w:themeColor="text1"/>
          <w:sz w:val="24"/>
          <w:szCs w:val="24"/>
        </w:rPr>
        <w:t xml:space="preserve"> to the Chip Truck Bin to be shipped offsite and the sawdust is routed to either the Plywood Plant fuel house or the adjacent particleboard plant.</w:t>
      </w:r>
      <w:r w:rsidR="00943362" w:rsidRPr="00523BEE">
        <w:rPr>
          <w:color w:val="000000" w:themeColor="text1"/>
          <w:sz w:val="24"/>
          <w:szCs w:val="24"/>
        </w:rPr>
        <w:t xml:space="preserve">  The green lumber is stacked and stored until ready for drying in the dry kilns.  Once dried, the </w:t>
      </w:r>
      <w:proofErr w:type="gramStart"/>
      <w:r w:rsidR="00943362" w:rsidRPr="00523BEE">
        <w:rPr>
          <w:color w:val="000000" w:themeColor="text1"/>
          <w:sz w:val="24"/>
          <w:szCs w:val="24"/>
        </w:rPr>
        <w:t>rough cut</w:t>
      </w:r>
      <w:proofErr w:type="gramEnd"/>
      <w:r w:rsidR="00943362" w:rsidRPr="00523BEE">
        <w:rPr>
          <w:color w:val="000000" w:themeColor="text1"/>
          <w:sz w:val="24"/>
          <w:szCs w:val="24"/>
        </w:rPr>
        <w:t xml:space="preserve"> lumber is sent to various saws for further processing.  The trimmed material from the sawing operations </w:t>
      </w:r>
      <w:proofErr w:type="gramStart"/>
      <w:r w:rsidR="00943362" w:rsidRPr="00523BEE">
        <w:rPr>
          <w:color w:val="000000" w:themeColor="text1"/>
          <w:sz w:val="24"/>
          <w:szCs w:val="24"/>
        </w:rPr>
        <w:t>is sent</w:t>
      </w:r>
      <w:proofErr w:type="gramEnd"/>
      <w:r w:rsidR="00943362" w:rsidRPr="00523BEE">
        <w:rPr>
          <w:color w:val="000000" w:themeColor="text1"/>
          <w:sz w:val="24"/>
          <w:szCs w:val="24"/>
        </w:rPr>
        <w:t xml:space="preserve"> to the trim hog while the shavings and sawdust are routed to either the Plywood Plant fuel house or the adjacent particleboard plant.  Finished lumber </w:t>
      </w:r>
      <w:proofErr w:type="gramStart"/>
      <w:r w:rsidR="00943362" w:rsidRPr="00523BEE">
        <w:rPr>
          <w:color w:val="000000" w:themeColor="text1"/>
          <w:sz w:val="24"/>
          <w:szCs w:val="24"/>
        </w:rPr>
        <w:t>is either treated at the edge seal booth or sent directly to storage prior to shipment off</w:t>
      </w:r>
      <w:r w:rsidR="00105CCE">
        <w:rPr>
          <w:color w:val="000000" w:themeColor="text1"/>
          <w:sz w:val="24"/>
          <w:szCs w:val="24"/>
        </w:rPr>
        <w:t>-</w:t>
      </w:r>
      <w:r w:rsidR="00943362" w:rsidRPr="00523BEE">
        <w:rPr>
          <w:color w:val="000000" w:themeColor="text1"/>
          <w:sz w:val="24"/>
          <w:szCs w:val="24"/>
        </w:rPr>
        <w:t>site</w:t>
      </w:r>
      <w:proofErr w:type="gramEnd"/>
      <w:r w:rsidR="00943362" w:rsidRPr="00523BEE">
        <w:rPr>
          <w:color w:val="000000" w:themeColor="text1"/>
          <w:sz w:val="24"/>
          <w:szCs w:val="24"/>
        </w:rPr>
        <w:t>.</w:t>
      </w:r>
    </w:p>
    <w:p w14:paraId="64B8D4EA" w14:textId="77777777" w:rsidR="00531513" w:rsidRDefault="00531513" w:rsidP="00104CE2">
      <w:pPr>
        <w:jc w:val="both"/>
        <w:rPr>
          <w:sz w:val="24"/>
          <w:szCs w:val="24"/>
        </w:rPr>
      </w:pPr>
    </w:p>
    <w:p w14:paraId="21CD06D3" w14:textId="77777777" w:rsidR="00531513" w:rsidRDefault="00531513" w:rsidP="00DD0307">
      <w:pPr>
        <w:spacing w:after="120"/>
        <w:jc w:val="both"/>
        <w:rPr>
          <w:sz w:val="24"/>
          <w:szCs w:val="24"/>
        </w:rPr>
      </w:pPr>
      <w:r>
        <w:rPr>
          <w:sz w:val="24"/>
          <w:szCs w:val="24"/>
          <w:u w:val="single"/>
        </w:rPr>
        <w:t xml:space="preserve">TITLE V </w:t>
      </w:r>
      <w:r w:rsidR="00BA3BCF">
        <w:rPr>
          <w:sz w:val="24"/>
          <w:szCs w:val="24"/>
          <w:u w:val="single"/>
        </w:rPr>
        <w:t>SOURCE</w:t>
      </w:r>
      <w:r>
        <w:rPr>
          <w:sz w:val="24"/>
          <w:szCs w:val="24"/>
          <w:u w:val="single"/>
        </w:rPr>
        <w:t xml:space="preserve"> APPLICABILITY </w:t>
      </w:r>
    </w:p>
    <w:p w14:paraId="518BA31E" w14:textId="53D38761" w:rsidR="00531513" w:rsidRDefault="00E60EA3" w:rsidP="00104CE2">
      <w:pPr>
        <w:jc w:val="both"/>
        <w:rPr>
          <w:color w:val="4F81BD" w:themeColor="accent1"/>
          <w:sz w:val="24"/>
          <w:szCs w:val="24"/>
        </w:rPr>
      </w:pPr>
      <w:r w:rsidRPr="00E60EA3">
        <w:rPr>
          <w:sz w:val="24"/>
          <w:szCs w:val="24"/>
        </w:rPr>
        <w:t>The facility’s potential-to-</w:t>
      </w:r>
      <w:r w:rsidRPr="00523BEE">
        <w:rPr>
          <w:color w:val="000000" w:themeColor="text1"/>
          <w:sz w:val="24"/>
          <w:szCs w:val="24"/>
        </w:rPr>
        <w:t xml:space="preserve">emit </w:t>
      </w:r>
      <w:r w:rsidR="003A4126" w:rsidRPr="00523BEE">
        <w:rPr>
          <w:color w:val="000000" w:themeColor="text1"/>
          <w:sz w:val="24"/>
          <w:szCs w:val="24"/>
        </w:rPr>
        <w:t xml:space="preserve">(PTE) </w:t>
      </w:r>
      <w:r w:rsidRPr="00523BEE">
        <w:rPr>
          <w:color w:val="000000" w:themeColor="text1"/>
          <w:sz w:val="24"/>
          <w:szCs w:val="24"/>
        </w:rPr>
        <w:t>exceeds the Title V major source threshold of 100 tons</w:t>
      </w:r>
      <w:r w:rsidR="00FD3166" w:rsidRPr="00523BEE">
        <w:rPr>
          <w:color w:val="000000" w:themeColor="text1"/>
          <w:sz w:val="24"/>
          <w:szCs w:val="24"/>
        </w:rPr>
        <w:t xml:space="preserve"> per </w:t>
      </w:r>
      <w:r w:rsidRPr="00523BEE">
        <w:rPr>
          <w:color w:val="000000" w:themeColor="text1"/>
          <w:sz w:val="24"/>
          <w:szCs w:val="24"/>
        </w:rPr>
        <w:t xml:space="preserve">year </w:t>
      </w:r>
      <w:r w:rsidR="00FD3166" w:rsidRPr="00523BEE">
        <w:rPr>
          <w:color w:val="000000" w:themeColor="text1"/>
          <w:sz w:val="24"/>
          <w:szCs w:val="24"/>
        </w:rPr>
        <w:t xml:space="preserve">(tpy) </w:t>
      </w:r>
      <w:r w:rsidRPr="00523BEE">
        <w:rPr>
          <w:color w:val="000000" w:themeColor="text1"/>
          <w:sz w:val="24"/>
          <w:szCs w:val="24"/>
        </w:rPr>
        <w:t>for each of the follow</w:t>
      </w:r>
      <w:bookmarkStart w:id="0" w:name="_GoBack"/>
      <w:bookmarkEnd w:id="0"/>
      <w:r w:rsidRPr="00523BEE">
        <w:rPr>
          <w:color w:val="000000" w:themeColor="text1"/>
          <w:sz w:val="24"/>
          <w:szCs w:val="24"/>
        </w:rPr>
        <w:t xml:space="preserve">ing criteria air pollutants: </w:t>
      </w:r>
      <w:r w:rsidR="00FB389D">
        <w:rPr>
          <w:color w:val="000000" w:themeColor="text1"/>
          <w:sz w:val="24"/>
          <w:szCs w:val="24"/>
        </w:rPr>
        <w:t>n</w:t>
      </w:r>
      <w:r w:rsidRPr="00523BEE">
        <w:rPr>
          <w:color w:val="000000" w:themeColor="text1"/>
          <w:sz w:val="24"/>
          <w:szCs w:val="24"/>
        </w:rPr>
        <w:t xml:space="preserve">itrogen </w:t>
      </w:r>
      <w:r w:rsidR="00FB389D">
        <w:rPr>
          <w:color w:val="000000" w:themeColor="text1"/>
          <w:sz w:val="24"/>
          <w:szCs w:val="24"/>
        </w:rPr>
        <w:t>o</w:t>
      </w:r>
      <w:r w:rsidRPr="00523BEE">
        <w:rPr>
          <w:color w:val="000000" w:themeColor="text1"/>
          <w:sz w:val="24"/>
          <w:szCs w:val="24"/>
        </w:rPr>
        <w:t>xides</w:t>
      </w:r>
      <w:r w:rsidR="00FD3166" w:rsidRPr="00523BEE">
        <w:rPr>
          <w:color w:val="000000" w:themeColor="text1"/>
          <w:sz w:val="24"/>
          <w:szCs w:val="24"/>
        </w:rPr>
        <w:t xml:space="preserve"> (NO</w:t>
      </w:r>
      <w:r w:rsidR="00FB389D">
        <w:rPr>
          <w:color w:val="000000" w:themeColor="text1"/>
          <w:sz w:val="24"/>
          <w:szCs w:val="24"/>
          <w:vertAlign w:val="subscript"/>
        </w:rPr>
        <w:t>X</w:t>
      </w:r>
      <w:r w:rsidR="00FD3166" w:rsidRPr="00523BEE">
        <w:rPr>
          <w:color w:val="000000" w:themeColor="text1"/>
          <w:sz w:val="24"/>
          <w:szCs w:val="24"/>
        </w:rPr>
        <w:t>)</w:t>
      </w:r>
      <w:r w:rsidRPr="00523BEE">
        <w:rPr>
          <w:color w:val="000000" w:themeColor="text1"/>
          <w:sz w:val="24"/>
          <w:szCs w:val="24"/>
        </w:rPr>
        <w:t xml:space="preserve">, </w:t>
      </w:r>
      <w:r w:rsidR="00FB389D">
        <w:rPr>
          <w:color w:val="000000" w:themeColor="text1"/>
          <w:sz w:val="24"/>
          <w:szCs w:val="24"/>
        </w:rPr>
        <w:t>c</w:t>
      </w:r>
      <w:r w:rsidRPr="00523BEE">
        <w:rPr>
          <w:color w:val="000000" w:themeColor="text1"/>
          <w:sz w:val="24"/>
          <w:szCs w:val="24"/>
        </w:rPr>
        <w:t xml:space="preserve">arbon </w:t>
      </w:r>
      <w:r w:rsidR="00FB389D">
        <w:rPr>
          <w:color w:val="000000" w:themeColor="text1"/>
          <w:sz w:val="24"/>
          <w:szCs w:val="24"/>
        </w:rPr>
        <w:t>m</w:t>
      </w:r>
      <w:r w:rsidRPr="00523BEE">
        <w:rPr>
          <w:color w:val="000000" w:themeColor="text1"/>
          <w:sz w:val="24"/>
          <w:szCs w:val="24"/>
        </w:rPr>
        <w:t>onoxide</w:t>
      </w:r>
      <w:r w:rsidR="00FD3166" w:rsidRPr="00523BEE">
        <w:rPr>
          <w:color w:val="000000" w:themeColor="text1"/>
          <w:sz w:val="24"/>
          <w:szCs w:val="24"/>
        </w:rPr>
        <w:t xml:space="preserve"> (CO)</w:t>
      </w:r>
      <w:r w:rsidRPr="00523BEE">
        <w:rPr>
          <w:color w:val="000000" w:themeColor="text1"/>
          <w:sz w:val="24"/>
          <w:szCs w:val="24"/>
        </w:rPr>
        <w:t xml:space="preserve">, </w:t>
      </w:r>
      <w:r w:rsidR="00FB389D">
        <w:rPr>
          <w:color w:val="000000" w:themeColor="text1"/>
          <w:sz w:val="24"/>
          <w:szCs w:val="24"/>
        </w:rPr>
        <w:t>particulate matter (PM), p</w:t>
      </w:r>
      <w:r w:rsidRPr="00523BEE">
        <w:rPr>
          <w:color w:val="000000" w:themeColor="text1"/>
          <w:sz w:val="24"/>
          <w:szCs w:val="24"/>
        </w:rPr>
        <w:t xml:space="preserve">articulate </w:t>
      </w:r>
      <w:r w:rsidR="00FB389D">
        <w:rPr>
          <w:color w:val="000000" w:themeColor="text1"/>
          <w:sz w:val="24"/>
          <w:szCs w:val="24"/>
        </w:rPr>
        <w:t>m</w:t>
      </w:r>
      <w:r w:rsidRPr="00523BEE">
        <w:rPr>
          <w:color w:val="000000" w:themeColor="text1"/>
          <w:sz w:val="24"/>
          <w:szCs w:val="24"/>
        </w:rPr>
        <w:t>atter less than 10 microns (PM</w:t>
      </w:r>
      <w:r w:rsidRPr="00523BEE">
        <w:rPr>
          <w:color w:val="000000" w:themeColor="text1"/>
          <w:sz w:val="24"/>
          <w:szCs w:val="24"/>
          <w:vertAlign w:val="subscript"/>
        </w:rPr>
        <w:t>10</w:t>
      </w:r>
      <w:r w:rsidRPr="00523BEE">
        <w:rPr>
          <w:color w:val="000000" w:themeColor="text1"/>
          <w:sz w:val="24"/>
          <w:szCs w:val="24"/>
        </w:rPr>
        <w:t xml:space="preserve">), </w:t>
      </w:r>
      <w:r w:rsidR="00FB389D">
        <w:rPr>
          <w:color w:val="000000" w:themeColor="text1"/>
          <w:sz w:val="24"/>
          <w:szCs w:val="24"/>
        </w:rPr>
        <w:t>p</w:t>
      </w:r>
      <w:r w:rsidRPr="00523BEE">
        <w:rPr>
          <w:color w:val="000000" w:themeColor="text1"/>
          <w:sz w:val="24"/>
          <w:szCs w:val="24"/>
        </w:rPr>
        <w:t xml:space="preserve">articulate </w:t>
      </w:r>
      <w:r w:rsidR="00FB389D">
        <w:rPr>
          <w:color w:val="000000" w:themeColor="text1"/>
          <w:sz w:val="24"/>
          <w:szCs w:val="24"/>
        </w:rPr>
        <w:t>m</w:t>
      </w:r>
      <w:r w:rsidRPr="00523BEE">
        <w:rPr>
          <w:color w:val="000000" w:themeColor="text1"/>
          <w:sz w:val="24"/>
          <w:szCs w:val="24"/>
        </w:rPr>
        <w:t>atter less than 2.5 microns (PM</w:t>
      </w:r>
      <w:r w:rsidRPr="00523BEE">
        <w:rPr>
          <w:color w:val="000000" w:themeColor="text1"/>
          <w:sz w:val="24"/>
          <w:szCs w:val="24"/>
          <w:vertAlign w:val="subscript"/>
        </w:rPr>
        <w:t>2.5</w:t>
      </w:r>
      <w:r w:rsidRPr="00523BEE">
        <w:rPr>
          <w:color w:val="000000" w:themeColor="text1"/>
          <w:sz w:val="24"/>
          <w:szCs w:val="24"/>
        </w:rPr>
        <w:t xml:space="preserve">), and </w:t>
      </w:r>
      <w:r w:rsidR="00FB389D">
        <w:rPr>
          <w:color w:val="000000" w:themeColor="text1"/>
          <w:sz w:val="24"/>
          <w:szCs w:val="24"/>
        </w:rPr>
        <w:t>v</w:t>
      </w:r>
      <w:r w:rsidRPr="00523BEE">
        <w:rPr>
          <w:color w:val="000000" w:themeColor="text1"/>
          <w:sz w:val="24"/>
          <w:szCs w:val="24"/>
        </w:rPr>
        <w:t xml:space="preserve">olatile </w:t>
      </w:r>
      <w:r w:rsidR="00FB389D">
        <w:rPr>
          <w:color w:val="000000" w:themeColor="text1"/>
          <w:sz w:val="24"/>
          <w:szCs w:val="24"/>
        </w:rPr>
        <w:t>o</w:t>
      </w:r>
      <w:r w:rsidRPr="00523BEE">
        <w:rPr>
          <w:color w:val="000000" w:themeColor="text1"/>
          <w:sz w:val="24"/>
          <w:szCs w:val="24"/>
        </w:rPr>
        <w:t xml:space="preserve">rganic </w:t>
      </w:r>
      <w:r w:rsidR="00FB389D">
        <w:rPr>
          <w:color w:val="000000" w:themeColor="text1"/>
          <w:sz w:val="24"/>
          <w:szCs w:val="24"/>
        </w:rPr>
        <w:t>c</w:t>
      </w:r>
      <w:r w:rsidRPr="00523BEE">
        <w:rPr>
          <w:color w:val="000000" w:themeColor="text1"/>
          <w:sz w:val="24"/>
          <w:szCs w:val="24"/>
        </w:rPr>
        <w:t>ompounds (VOC</w:t>
      </w:r>
      <w:r w:rsidR="00FB389D">
        <w:rPr>
          <w:color w:val="000000" w:themeColor="text1"/>
          <w:sz w:val="24"/>
          <w:szCs w:val="24"/>
        </w:rPr>
        <w:t>s</w:t>
      </w:r>
      <w:r w:rsidRPr="00523BEE">
        <w:rPr>
          <w:color w:val="000000" w:themeColor="text1"/>
          <w:sz w:val="24"/>
          <w:szCs w:val="24"/>
        </w:rPr>
        <w:t>).</w:t>
      </w:r>
      <w:r w:rsidR="00DD0307" w:rsidRPr="00523BEE">
        <w:rPr>
          <w:color w:val="000000" w:themeColor="text1"/>
          <w:sz w:val="24"/>
          <w:szCs w:val="24"/>
        </w:rPr>
        <w:t xml:space="preserve"> </w:t>
      </w:r>
      <w:r w:rsidRPr="00523BEE">
        <w:rPr>
          <w:color w:val="000000" w:themeColor="text1"/>
          <w:sz w:val="24"/>
          <w:szCs w:val="24"/>
        </w:rPr>
        <w:t>The facility’s potential</w:t>
      </w:r>
      <w:r w:rsidR="00FD3166" w:rsidRPr="00523BEE">
        <w:rPr>
          <w:color w:val="000000" w:themeColor="text1"/>
          <w:sz w:val="24"/>
          <w:szCs w:val="24"/>
        </w:rPr>
        <w:t>-to-emit hazardous a</w:t>
      </w:r>
      <w:r w:rsidRPr="00523BEE">
        <w:rPr>
          <w:color w:val="000000" w:themeColor="text1"/>
          <w:sz w:val="24"/>
          <w:szCs w:val="24"/>
        </w:rPr>
        <w:t xml:space="preserve">ir </w:t>
      </w:r>
      <w:r w:rsidR="00FD3166" w:rsidRPr="00523BEE">
        <w:rPr>
          <w:color w:val="000000" w:themeColor="text1"/>
          <w:sz w:val="24"/>
          <w:szCs w:val="24"/>
        </w:rPr>
        <w:t>p</w:t>
      </w:r>
      <w:r w:rsidRPr="00523BEE">
        <w:rPr>
          <w:color w:val="000000" w:themeColor="text1"/>
          <w:sz w:val="24"/>
          <w:szCs w:val="24"/>
        </w:rPr>
        <w:t xml:space="preserve">ollutants (HAPs) exceeds </w:t>
      </w:r>
      <w:r w:rsidR="00FD3166" w:rsidRPr="00523BEE">
        <w:rPr>
          <w:color w:val="000000" w:themeColor="text1"/>
          <w:sz w:val="24"/>
          <w:szCs w:val="24"/>
        </w:rPr>
        <w:t>the Title V major</w:t>
      </w:r>
      <w:r w:rsidR="00FD3166" w:rsidRPr="00BA3BCF">
        <w:rPr>
          <w:sz w:val="24"/>
          <w:szCs w:val="24"/>
        </w:rPr>
        <w:t xml:space="preserve"> source thresholds of 25 tpy of total HAPs and 10 tpy for the following individual HAPs</w:t>
      </w:r>
      <w:r w:rsidR="00DD0307">
        <w:rPr>
          <w:sz w:val="24"/>
          <w:szCs w:val="24"/>
        </w:rPr>
        <w:t xml:space="preserve">: </w:t>
      </w:r>
      <w:r w:rsidR="00FB389D">
        <w:rPr>
          <w:sz w:val="24"/>
          <w:szCs w:val="24"/>
        </w:rPr>
        <w:t>f</w:t>
      </w:r>
      <w:r w:rsidR="00DD0307">
        <w:rPr>
          <w:sz w:val="24"/>
          <w:szCs w:val="24"/>
        </w:rPr>
        <w:t xml:space="preserve">ormaldehyde, </w:t>
      </w:r>
      <w:r w:rsidR="00FB389D">
        <w:rPr>
          <w:sz w:val="24"/>
          <w:szCs w:val="24"/>
        </w:rPr>
        <w:t>h</w:t>
      </w:r>
      <w:r w:rsidR="00DD0307">
        <w:rPr>
          <w:sz w:val="24"/>
          <w:szCs w:val="24"/>
        </w:rPr>
        <w:t xml:space="preserve">ydrogen </w:t>
      </w:r>
      <w:r w:rsidR="00FB389D">
        <w:rPr>
          <w:sz w:val="24"/>
          <w:szCs w:val="24"/>
        </w:rPr>
        <w:t>c</w:t>
      </w:r>
      <w:r w:rsidR="00DD0307">
        <w:rPr>
          <w:sz w:val="24"/>
          <w:szCs w:val="24"/>
        </w:rPr>
        <w:t xml:space="preserve">hloride, </w:t>
      </w:r>
      <w:r w:rsidR="00FB389D">
        <w:rPr>
          <w:sz w:val="24"/>
          <w:szCs w:val="24"/>
        </w:rPr>
        <w:t>m</w:t>
      </w:r>
      <w:r w:rsidR="00DD0307">
        <w:rPr>
          <w:sz w:val="24"/>
          <w:szCs w:val="24"/>
        </w:rPr>
        <w:t xml:space="preserve">ethanol, and </w:t>
      </w:r>
      <w:r w:rsidR="00FB389D">
        <w:rPr>
          <w:sz w:val="24"/>
          <w:szCs w:val="24"/>
        </w:rPr>
        <w:t>p</w:t>
      </w:r>
      <w:r w:rsidR="00DD0307">
        <w:rPr>
          <w:sz w:val="24"/>
          <w:szCs w:val="24"/>
        </w:rPr>
        <w:t>henol.</w:t>
      </w:r>
    </w:p>
    <w:p w14:paraId="74FDA743" w14:textId="77777777" w:rsidR="009733EB" w:rsidRDefault="009733EB" w:rsidP="00104CE2">
      <w:pPr>
        <w:jc w:val="both"/>
        <w:rPr>
          <w:color w:val="4F81BD" w:themeColor="accent1"/>
          <w:sz w:val="24"/>
          <w:szCs w:val="24"/>
        </w:rPr>
      </w:pPr>
    </w:p>
    <w:p w14:paraId="4206AEB9" w14:textId="77777777" w:rsidR="009733EB" w:rsidRPr="006A52EB" w:rsidRDefault="009733EB" w:rsidP="00DD0307">
      <w:pPr>
        <w:keepNext/>
        <w:spacing w:after="120"/>
        <w:jc w:val="both"/>
        <w:rPr>
          <w:b/>
          <w:sz w:val="24"/>
          <w:szCs w:val="24"/>
          <w:vertAlign w:val="superscript"/>
        </w:rPr>
      </w:pPr>
      <w:r>
        <w:rPr>
          <w:b/>
          <w:sz w:val="24"/>
          <w:szCs w:val="24"/>
        </w:rPr>
        <w:t>Facility-Wide Potential-to-Emit</w:t>
      </w:r>
      <w:r w:rsidR="00991620">
        <w:rPr>
          <w:b/>
          <w:sz w:val="24"/>
          <w:szCs w:val="24"/>
        </w:rPr>
        <w:t xml:space="preserve"> Summary</w:t>
      </w:r>
      <w:r w:rsidR="00ED2C87">
        <w:rPr>
          <w:b/>
          <w:sz w:val="24"/>
          <w:szCs w:val="24"/>
          <w:vertAlign w:val="superscript"/>
        </w:rPr>
        <w:t>1</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27"/>
        <w:gridCol w:w="1350"/>
      </w:tblGrid>
      <w:tr w:rsidR="00B11AE9" w:rsidRPr="00B11AE9" w14:paraId="5E8CE399" w14:textId="77777777" w:rsidTr="00D12E04">
        <w:trPr>
          <w:tblHeader/>
        </w:trPr>
        <w:tc>
          <w:tcPr>
            <w:tcW w:w="3927" w:type="dxa"/>
            <w:tcBorders>
              <w:top w:val="double" w:sz="4" w:space="0" w:color="auto"/>
            </w:tcBorders>
            <w:shd w:val="clear" w:color="auto" w:fill="BFBFBF" w:themeFill="background1" w:themeFillShade="BF"/>
            <w:vAlign w:val="center"/>
          </w:tcPr>
          <w:p w14:paraId="1569D2F1" w14:textId="77777777" w:rsidR="009733EB" w:rsidRPr="006A52EB" w:rsidRDefault="009733EB" w:rsidP="00D12E04">
            <w:pPr>
              <w:keepNext/>
              <w:spacing w:before="60" w:after="60"/>
              <w:jc w:val="center"/>
              <w:rPr>
                <w:sz w:val="24"/>
                <w:szCs w:val="24"/>
              </w:rPr>
            </w:pPr>
            <w:r w:rsidRPr="006A52EB">
              <w:rPr>
                <w:sz w:val="24"/>
                <w:szCs w:val="24"/>
              </w:rPr>
              <w:t>Pollutant</w:t>
            </w:r>
          </w:p>
        </w:tc>
        <w:tc>
          <w:tcPr>
            <w:tcW w:w="1350" w:type="dxa"/>
            <w:tcBorders>
              <w:top w:val="double" w:sz="4" w:space="0" w:color="auto"/>
            </w:tcBorders>
            <w:shd w:val="clear" w:color="auto" w:fill="BFBFBF" w:themeFill="background1" w:themeFillShade="BF"/>
            <w:vAlign w:val="center"/>
          </w:tcPr>
          <w:p w14:paraId="17CE11F7" w14:textId="77777777" w:rsidR="009733EB" w:rsidRPr="006A52EB" w:rsidRDefault="009733EB" w:rsidP="00577CB8">
            <w:pPr>
              <w:keepNext/>
              <w:spacing w:before="60" w:after="60"/>
              <w:jc w:val="center"/>
              <w:rPr>
                <w:sz w:val="24"/>
                <w:szCs w:val="24"/>
              </w:rPr>
            </w:pPr>
            <w:r w:rsidRPr="006A52EB">
              <w:rPr>
                <w:sz w:val="24"/>
                <w:szCs w:val="24"/>
              </w:rPr>
              <w:t>PTE Emissions</w:t>
            </w:r>
          </w:p>
          <w:p w14:paraId="5793DCDD" w14:textId="6C2867D3" w:rsidR="009733EB" w:rsidRPr="006A52EB" w:rsidRDefault="009733EB" w:rsidP="00D12E04">
            <w:pPr>
              <w:keepNext/>
              <w:spacing w:before="60" w:after="60"/>
              <w:jc w:val="center"/>
              <w:rPr>
                <w:sz w:val="24"/>
                <w:szCs w:val="24"/>
              </w:rPr>
            </w:pPr>
            <w:r w:rsidRPr="006A52EB">
              <w:rPr>
                <w:sz w:val="24"/>
                <w:szCs w:val="24"/>
              </w:rPr>
              <w:t>(</w:t>
            </w:r>
            <w:r w:rsidR="00D12E04">
              <w:rPr>
                <w:sz w:val="24"/>
                <w:szCs w:val="24"/>
              </w:rPr>
              <w:t>tpy</w:t>
            </w:r>
            <w:r w:rsidRPr="006A52EB">
              <w:rPr>
                <w:sz w:val="24"/>
                <w:szCs w:val="24"/>
              </w:rPr>
              <w:t>)</w:t>
            </w:r>
          </w:p>
        </w:tc>
      </w:tr>
      <w:tr w:rsidR="009733EB" w14:paraId="30707ECF" w14:textId="77777777" w:rsidTr="00D12E04">
        <w:tc>
          <w:tcPr>
            <w:tcW w:w="3927" w:type="dxa"/>
            <w:vAlign w:val="center"/>
          </w:tcPr>
          <w:p w14:paraId="5E045233" w14:textId="77777777" w:rsidR="009733EB" w:rsidRPr="006A52EB" w:rsidRDefault="009733EB" w:rsidP="00D12E04">
            <w:pPr>
              <w:spacing w:before="60" w:after="60"/>
              <w:jc w:val="center"/>
              <w:rPr>
                <w:sz w:val="24"/>
                <w:szCs w:val="24"/>
              </w:rPr>
            </w:pPr>
            <w:r>
              <w:rPr>
                <w:sz w:val="24"/>
                <w:szCs w:val="24"/>
              </w:rPr>
              <w:t>Particulate Matter</w:t>
            </w:r>
            <w:r w:rsidR="00D90F67">
              <w:rPr>
                <w:sz w:val="24"/>
                <w:szCs w:val="24"/>
              </w:rPr>
              <w:t xml:space="preserve"> (TSP)</w:t>
            </w:r>
          </w:p>
        </w:tc>
        <w:tc>
          <w:tcPr>
            <w:tcW w:w="1350" w:type="dxa"/>
            <w:vAlign w:val="center"/>
          </w:tcPr>
          <w:p w14:paraId="66D264C3" w14:textId="7F789CED" w:rsidR="009733EB" w:rsidRPr="006A52EB" w:rsidRDefault="000679DC" w:rsidP="006A52EB">
            <w:pPr>
              <w:spacing w:before="60" w:after="60"/>
              <w:jc w:val="center"/>
              <w:rPr>
                <w:sz w:val="24"/>
                <w:szCs w:val="24"/>
              </w:rPr>
            </w:pPr>
            <w:r>
              <w:rPr>
                <w:sz w:val="24"/>
                <w:szCs w:val="24"/>
              </w:rPr>
              <w:t>753.5</w:t>
            </w:r>
          </w:p>
        </w:tc>
      </w:tr>
      <w:tr w:rsidR="009733EB" w14:paraId="07FE0E4B" w14:textId="77777777" w:rsidTr="00D12E04">
        <w:tc>
          <w:tcPr>
            <w:tcW w:w="3927" w:type="dxa"/>
            <w:vAlign w:val="center"/>
          </w:tcPr>
          <w:p w14:paraId="66BD893D" w14:textId="77777777" w:rsidR="009733EB" w:rsidRPr="006A52EB" w:rsidRDefault="009733EB" w:rsidP="00D12E04">
            <w:pPr>
              <w:spacing w:before="60" w:after="60"/>
              <w:jc w:val="center"/>
              <w:rPr>
                <w:sz w:val="24"/>
                <w:szCs w:val="24"/>
                <w:vertAlign w:val="subscript"/>
              </w:rPr>
            </w:pPr>
            <w:r>
              <w:rPr>
                <w:sz w:val="24"/>
                <w:szCs w:val="24"/>
              </w:rPr>
              <w:t>PM</w:t>
            </w:r>
            <w:r>
              <w:rPr>
                <w:sz w:val="24"/>
                <w:szCs w:val="24"/>
                <w:vertAlign w:val="subscript"/>
              </w:rPr>
              <w:t>10</w:t>
            </w:r>
          </w:p>
        </w:tc>
        <w:tc>
          <w:tcPr>
            <w:tcW w:w="1350" w:type="dxa"/>
            <w:vAlign w:val="center"/>
          </w:tcPr>
          <w:p w14:paraId="1046D24A" w14:textId="2E138283" w:rsidR="009733EB" w:rsidRPr="006A52EB" w:rsidRDefault="000679DC" w:rsidP="006A52EB">
            <w:pPr>
              <w:spacing w:before="60" w:after="60"/>
              <w:jc w:val="center"/>
              <w:rPr>
                <w:sz w:val="24"/>
                <w:szCs w:val="24"/>
              </w:rPr>
            </w:pPr>
            <w:r>
              <w:rPr>
                <w:sz w:val="24"/>
                <w:szCs w:val="24"/>
              </w:rPr>
              <w:t>560.3</w:t>
            </w:r>
          </w:p>
        </w:tc>
      </w:tr>
      <w:tr w:rsidR="009733EB" w14:paraId="0ABA20FA" w14:textId="77777777" w:rsidTr="00D12E04">
        <w:tc>
          <w:tcPr>
            <w:tcW w:w="3927" w:type="dxa"/>
            <w:vAlign w:val="center"/>
          </w:tcPr>
          <w:p w14:paraId="38770992" w14:textId="77777777" w:rsidR="009733EB" w:rsidRPr="006A52EB" w:rsidRDefault="009733EB" w:rsidP="00D12E04">
            <w:pPr>
              <w:spacing w:before="60" w:after="60"/>
              <w:jc w:val="center"/>
              <w:rPr>
                <w:sz w:val="24"/>
                <w:szCs w:val="24"/>
                <w:vertAlign w:val="subscript"/>
              </w:rPr>
            </w:pPr>
            <w:r>
              <w:rPr>
                <w:sz w:val="24"/>
                <w:szCs w:val="24"/>
              </w:rPr>
              <w:t>PM</w:t>
            </w:r>
            <w:r>
              <w:rPr>
                <w:sz w:val="24"/>
                <w:szCs w:val="24"/>
                <w:vertAlign w:val="subscript"/>
              </w:rPr>
              <w:t>2.5</w:t>
            </w:r>
          </w:p>
        </w:tc>
        <w:tc>
          <w:tcPr>
            <w:tcW w:w="1350" w:type="dxa"/>
            <w:vAlign w:val="center"/>
          </w:tcPr>
          <w:p w14:paraId="49B6F3F7" w14:textId="0169556B" w:rsidR="009733EB" w:rsidRPr="006A52EB" w:rsidRDefault="000679DC" w:rsidP="006A52EB">
            <w:pPr>
              <w:spacing w:before="60" w:after="60"/>
              <w:jc w:val="center"/>
              <w:rPr>
                <w:sz w:val="24"/>
                <w:szCs w:val="24"/>
              </w:rPr>
            </w:pPr>
            <w:r>
              <w:rPr>
                <w:sz w:val="24"/>
                <w:szCs w:val="24"/>
              </w:rPr>
              <w:t>480.8</w:t>
            </w:r>
          </w:p>
        </w:tc>
      </w:tr>
      <w:tr w:rsidR="009733EB" w14:paraId="5668F8B8" w14:textId="77777777" w:rsidTr="00D12E04">
        <w:tc>
          <w:tcPr>
            <w:tcW w:w="3927" w:type="dxa"/>
            <w:vAlign w:val="center"/>
          </w:tcPr>
          <w:p w14:paraId="218FCCEC" w14:textId="77777777" w:rsidR="009733EB" w:rsidRPr="006A52EB" w:rsidRDefault="00D90F67" w:rsidP="00D12E04">
            <w:pPr>
              <w:spacing w:before="60" w:after="60"/>
              <w:jc w:val="center"/>
              <w:rPr>
                <w:sz w:val="24"/>
                <w:szCs w:val="24"/>
              </w:rPr>
            </w:pPr>
            <w:r>
              <w:rPr>
                <w:sz w:val="24"/>
                <w:szCs w:val="24"/>
              </w:rPr>
              <w:t>Sulfur Dioxide (SO</w:t>
            </w:r>
            <w:r>
              <w:rPr>
                <w:sz w:val="24"/>
                <w:szCs w:val="24"/>
                <w:vertAlign w:val="subscript"/>
              </w:rPr>
              <w:t>2</w:t>
            </w:r>
            <w:r>
              <w:rPr>
                <w:sz w:val="24"/>
                <w:szCs w:val="24"/>
              </w:rPr>
              <w:t>)</w:t>
            </w:r>
          </w:p>
        </w:tc>
        <w:tc>
          <w:tcPr>
            <w:tcW w:w="1350" w:type="dxa"/>
            <w:vAlign w:val="center"/>
          </w:tcPr>
          <w:p w14:paraId="24B532C2" w14:textId="6FC7E6CF" w:rsidR="009733EB" w:rsidRPr="006A52EB" w:rsidRDefault="000679DC" w:rsidP="006A52EB">
            <w:pPr>
              <w:spacing w:before="60" w:after="60"/>
              <w:jc w:val="center"/>
              <w:rPr>
                <w:sz w:val="24"/>
                <w:szCs w:val="24"/>
              </w:rPr>
            </w:pPr>
            <w:r>
              <w:rPr>
                <w:sz w:val="24"/>
                <w:szCs w:val="24"/>
              </w:rPr>
              <w:t>35.6</w:t>
            </w:r>
          </w:p>
        </w:tc>
      </w:tr>
      <w:tr w:rsidR="009733EB" w14:paraId="39AD3317" w14:textId="77777777" w:rsidTr="00D12E04">
        <w:tc>
          <w:tcPr>
            <w:tcW w:w="3927" w:type="dxa"/>
            <w:vAlign w:val="center"/>
          </w:tcPr>
          <w:p w14:paraId="141A862F" w14:textId="5CE2097E" w:rsidR="009733EB" w:rsidRPr="006A52EB" w:rsidRDefault="00D90F67" w:rsidP="00D12E04">
            <w:pPr>
              <w:spacing w:before="60" w:after="60"/>
              <w:jc w:val="center"/>
              <w:rPr>
                <w:sz w:val="24"/>
                <w:szCs w:val="24"/>
              </w:rPr>
            </w:pPr>
            <w:r>
              <w:rPr>
                <w:sz w:val="24"/>
                <w:szCs w:val="24"/>
              </w:rPr>
              <w:t>Nitrogen Oxides (NO</w:t>
            </w:r>
            <w:r w:rsidR="00D12E04">
              <w:rPr>
                <w:sz w:val="24"/>
                <w:szCs w:val="24"/>
                <w:vertAlign w:val="subscript"/>
              </w:rPr>
              <w:t>X</w:t>
            </w:r>
            <w:r>
              <w:rPr>
                <w:sz w:val="24"/>
                <w:szCs w:val="24"/>
              </w:rPr>
              <w:t>)</w:t>
            </w:r>
          </w:p>
        </w:tc>
        <w:tc>
          <w:tcPr>
            <w:tcW w:w="1350" w:type="dxa"/>
            <w:vAlign w:val="center"/>
          </w:tcPr>
          <w:p w14:paraId="589A7CA9" w14:textId="7F0962B3" w:rsidR="009733EB" w:rsidRPr="006A52EB" w:rsidRDefault="000679DC" w:rsidP="006A52EB">
            <w:pPr>
              <w:spacing w:before="60" w:after="60"/>
              <w:jc w:val="center"/>
              <w:rPr>
                <w:sz w:val="24"/>
                <w:szCs w:val="24"/>
              </w:rPr>
            </w:pPr>
            <w:r>
              <w:rPr>
                <w:sz w:val="24"/>
                <w:szCs w:val="24"/>
              </w:rPr>
              <w:t>726.5</w:t>
            </w:r>
          </w:p>
        </w:tc>
      </w:tr>
      <w:tr w:rsidR="009733EB" w14:paraId="39488925" w14:textId="77777777" w:rsidTr="00D12E04">
        <w:tc>
          <w:tcPr>
            <w:tcW w:w="3927" w:type="dxa"/>
            <w:vAlign w:val="center"/>
          </w:tcPr>
          <w:p w14:paraId="448DCF13" w14:textId="77777777" w:rsidR="009733EB" w:rsidRPr="006A52EB" w:rsidRDefault="00D90F67" w:rsidP="00D12E04">
            <w:pPr>
              <w:spacing w:before="60" w:after="60"/>
              <w:jc w:val="center"/>
              <w:rPr>
                <w:sz w:val="24"/>
                <w:szCs w:val="24"/>
              </w:rPr>
            </w:pPr>
            <w:r>
              <w:rPr>
                <w:sz w:val="24"/>
                <w:szCs w:val="24"/>
              </w:rPr>
              <w:t>Carbon Monoxide (CO)</w:t>
            </w:r>
          </w:p>
        </w:tc>
        <w:tc>
          <w:tcPr>
            <w:tcW w:w="1350" w:type="dxa"/>
            <w:vAlign w:val="center"/>
          </w:tcPr>
          <w:p w14:paraId="0F4DDDF4" w14:textId="67468783" w:rsidR="009733EB" w:rsidRPr="006A52EB" w:rsidRDefault="00586C75" w:rsidP="006A52EB">
            <w:pPr>
              <w:spacing w:before="60" w:after="60"/>
              <w:jc w:val="center"/>
              <w:rPr>
                <w:sz w:val="24"/>
                <w:szCs w:val="24"/>
              </w:rPr>
            </w:pPr>
            <w:r>
              <w:rPr>
                <w:sz w:val="24"/>
                <w:szCs w:val="24"/>
              </w:rPr>
              <w:t>3,259</w:t>
            </w:r>
          </w:p>
        </w:tc>
      </w:tr>
      <w:tr w:rsidR="00D90F67" w14:paraId="2BC4D271" w14:textId="77777777" w:rsidTr="00D12E04">
        <w:tc>
          <w:tcPr>
            <w:tcW w:w="3927" w:type="dxa"/>
            <w:vAlign w:val="center"/>
          </w:tcPr>
          <w:p w14:paraId="2EC2306D" w14:textId="5080408E" w:rsidR="00D90F67" w:rsidRDefault="00D90F67" w:rsidP="00D12E04">
            <w:pPr>
              <w:spacing w:before="60" w:after="60"/>
              <w:jc w:val="center"/>
              <w:rPr>
                <w:sz w:val="24"/>
                <w:szCs w:val="24"/>
              </w:rPr>
            </w:pPr>
            <w:r>
              <w:rPr>
                <w:sz w:val="24"/>
                <w:szCs w:val="24"/>
              </w:rPr>
              <w:t>Volatile Organic Compounds (VOC</w:t>
            </w:r>
            <w:r w:rsidR="00D12E04">
              <w:rPr>
                <w:sz w:val="24"/>
                <w:szCs w:val="24"/>
              </w:rPr>
              <w:t>s</w:t>
            </w:r>
            <w:r>
              <w:rPr>
                <w:sz w:val="24"/>
                <w:szCs w:val="24"/>
              </w:rPr>
              <w:t>)</w:t>
            </w:r>
          </w:p>
        </w:tc>
        <w:tc>
          <w:tcPr>
            <w:tcW w:w="1350" w:type="dxa"/>
            <w:vAlign w:val="center"/>
          </w:tcPr>
          <w:p w14:paraId="6AC89339" w14:textId="2D3420BE" w:rsidR="00D90F67" w:rsidRPr="006A52EB" w:rsidRDefault="00586C75" w:rsidP="00D90F67">
            <w:pPr>
              <w:spacing w:before="60" w:after="60"/>
              <w:jc w:val="center"/>
              <w:rPr>
                <w:sz w:val="24"/>
                <w:szCs w:val="24"/>
              </w:rPr>
            </w:pPr>
            <w:r>
              <w:rPr>
                <w:sz w:val="24"/>
                <w:szCs w:val="24"/>
              </w:rPr>
              <w:t>924.5</w:t>
            </w:r>
          </w:p>
        </w:tc>
      </w:tr>
      <w:tr w:rsidR="009733EB" w14:paraId="6221D1E1" w14:textId="77777777" w:rsidTr="00D12E04">
        <w:tc>
          <w:tcPr>
            <w:tcW w:w="3927" w:type="dxa"/>
            <w:vAlign w:val="center"/>
          </w:tcPr>
          <w:p w14:paraId="38C9FFB5" w14:textId="77777777" w:rsidR="009733EB" w:rsidRPr="006A52EB" w:rsidRDefault="00280FAA" w:rsidP="00D12E04">
            <w:pPr>
              <w:spacing w:before="60" w:after="60"/>
              <w:jc w:val="center"/>
              <w:rPr>
                <w:sz w:val="24"/>
                <w:szCs w:val="24"/>
              </w:rPr>
            </w:pPr>
            <w:r>
              <w:rPr>
                <w:sz w:val="24"/>
                <w:szCs w:val="24"/>
              </w:rPr>
              <w:t>Total Reduced Sulfur (TRS)</w:t>
            </w:r>
          </w:p>
        </w:tc>
        <w:tc>
          <w:tcPr>
            <w:tcW w:w="1350" w:type="dxa"/>
            <w:vAlign w:val="center"/>
          </w:tcPr>
          <w:p w14:paraId="3863A79C" w14:textId="77777777" w:rsidR="009733EB" w:rsidRPr="006A52EB" w:rsidRDefault="00DD0307" w:rsidP="006A52EB">
            <w:pPr>
              <w:spacing w:before="60" w:after="60"/>
              <w:jc w:val="center"/>
              <w:rPr>
                <w:sz w:val="24"/>
                <w:szCs w:val="24"/>
              </w:rPr>
            </w:pPr>
            <w:r>
              <w:rPr>
                <w:sz w:val="24"/>
                <w:szCs w:val="24"/>
              </w:rPr>
              <w:t>0.00</w:t>
            </w:r>
          </w:p>
        </w:tc>
      </w:tr>
      <w:tr w:rsidR="00280FAA" w14:paraId="2B03FA09" w14:textId="77777777" w:rsidTr="00D12E04">
        <w:tc>
          <w:tcPr>
            <w:tcW w:w="3927" w:type="dxa"/>
            <w:vAlign w:val="center"/>
          </w:tcPr>
          <w:p w14:paraId="467D8625" w14:textId="77777777" w:rsidR="00280FAA" w:rsidRDefault="00280FAA" w:rsidP="00D12E04">
            <w:pPr>
              <w:spacing w:before="60" w:after="60"/>
              <w:jc w:val="center"/>
              <w:rPr>
                <w:sz w:val="24"/>
                <w:szCs w:val="24"/>
              </w:rPr>
            </w:pPr>
            <w:r>
              <w:rPr>
                <w:sz w:val="24"/>
                <w:szCs w:val="24"/>
              </w:rPr>
              <w:t>Lead</w:t>
            </w:r>
          </w:p>
        </w:tc>
        <w:tc>
          <w:tcPr>
            <w:tcW w:w="1350" w:type="dxa"/>
            <w:vAlign w:val="center"/>
          </w:tcPr>
          <w:p w14:paraId="58901860" w14:textId="69C09D96" w:rsidR="00280FAA" w:rsidRPr="006A52EB" w:rsidRDefault="00586C75" w:rsidP="00D90F67">
            <w:pPr>
              <w:spacing w:before="60" w:after="60"/>
              <w:jc w:val="center"/>
              <w:rPr>
                <w:sz w:val="24"/>
                <w:szCs w:val="24"/>
              </w:rPr>
            </w:pPr>
            <w:r>
              <w:rPr>
                <w:sz w:val="24"/>
                <w:szCs w:val="24"/>
              </w:rPr>
              <w:t>0.02</w:t>
            </w:r>
          </w:p>
        </w:tc>
      </w:tr>
      <w:tr w:rsidR="00280FAA" w14:paraId="756F3991" w14:textId="77777777" w:rsidTr="00D12E04">
        <w:tc>
          <w:tcPr>
            <w:tcW w:w="3927" w:type="dxa"/>
            <w:vAlign w:val="center"/>
          </w:tcPr>
          <w:p w14:paraId="529BF8F8" w14:textId="161843B9" w:rsidR="00280FAA" w:rsidRDefault="00280FAA" w:rsidP="00D12E04">
            <w:pPr>
              <w:spacing w:before="60" w:after="60"/>
              <w:jc w:val="center"/>
              <w:rPr>
                <w:sz w:val="24"/>
                <w:szCs w:val="24"/>
              </w:rPr>
            </w:pPr>
            <w:r>
              <w:rPr>
                <w:sz w:val="24"/>
                <w:szCs w:val="24"/>
              </w:rPr>
              <w:t>CFC</w:t>
            </w:r>
            <w:r w:rsidR="00D12E04">
              <w:rPr>
                <w:sz w:val="24"/>
                <w:szCs w:val="24"/>
              </w:rPr>
              <w:t xml:space="preserve"> </w:t>
            </w:r>
            <w:r>
              <w:rPr>
                <w:sz w:val="24"/>
                <w:szCs w:val="24"/>
              </w:rPr>
              <w:t>/</w:t>
            </w:r>
            <w:r w:rsidR="00D12E04">
              <w:rPr>
                <w:sz w:val="24"/>
                <w:szCs w:val="24"/>
              </w:rPr>
              <w:t xml:space="preserve"> </w:t>
            </w:r>
            <w:r>
              <w:rPr>
                <w:sz w:val="24"/>
                <w:szCs w:val="24"/>
              </w:rPr>
              <w:t>HCFC</w:t>
            </w:r>
          </w:p>
        </w:tc>
        <w:tc>
          <w:tcPr>
            <w:tcW w:w="1350" w:type="dxa"/>
            <w:vAlign w:val="center"/>
          </w:tcPr>
          <w:p w14:paraId="44AB29CB" w14:textId="77777777" w:rsidR="00280FAA" w:rsidRPr="006A52EB" w:rsidRDefault="00DD0307" w:rsidP="00D90F67">
            <w:pPr>
              <w:spacing w:before="60" w:after="60"/>
              <w:jc w:val="center"/>
              <w:rPr>
                <w:sz w:val="24"/>
                <w:szCs w:val="24"/>
              </w:rPr>
            </w:pPr>
            <w:r>
              <w:rPr>
                <w:sz w:val="24"/>
                <w:szCs w:val="24"/>
              </w:rPr>
              <w:t>0.00</w:t>
            </w:r>
          </w:p>
        </w:tc>
      </w:tr>
      <w:tr w:rsidR="00280FAA" w14:paraId="2FE4A8D3" w14:textId="77777777" w:rsidTr="00D12E04">
        <w:tc>
          <w:tcPr>
            <w:tcW w:w="3927" w:type="dxa"/>
            <w:tcBorders>
              <w:bottom w:val="double" w:sz="4" w:space="0" w:color="auto"/>
            </w:tcBorders>
            <w:vAlign w:val="center"/>
          </w:tcPr>
          <w:p w14:paraId="4700744C" w14:textId="4CC65D21" w:rsidR="00280FAA" w:rsidRDefault="00280FAA" w:rsidP="00D12E04">
            <w:pPr>
              <w:spacing w:before="60" w:after="60"/>
              <w:jc w:val="center"/>
              <w:rPr>
                <w:sz w:val="24"/>
                <w:szCs w:val="24"/>
              </w:rPr>
            </w:pPr>
            <w:r>
              <w:rPr>
                <w:sz w:val="24"/>
                <w:szCs w:val="24"/>
              </w:rPr>
              <w:t>Total HAP</w:t>
            </w:r>
            <w:r w:rsidR="00D12E04">
              <w:rPr>
                <w:sz w:val="24"/>
                <w:szCs w:val="24"/>
              </w:rPr>
              <w:t>s</w:t>
            </w:r>
          </w:p>
        </w:tc>
        <w:tc>
          <w:tcPr>
            <w:tcW w:w="1350" w:type="dxa"/>
            <w:tcBorders>
              <w:bottom w:val="double" w:sz="4" w:space="0" w:color="auto"/>
            </w:tcBorders>
            <w:vAlign w:val="center"/>
          </w:tcPr>
          <w:p w14:paraId="777A74ED" w14:textId="6339E1FA" w:rsidR="00280FAA" w:rsidRPr="006A52EB" w:rsidRDefault="00586C75" w:rsidP="00D90F67">
            <w:pPr>
              <w:spacing w:before="60" w:after="60"/>
              <w:jc w:val="center"/>
              <w:rPr>
                <w:sz w:val="24"/>
                <w:szCs w:val="24"/>
              </w:rPr>
            </w:pPr>
            <w:r>
              <w:rPr>
                <w:sz w:val="24"/>
                <w:szCs w:val="24"/>
              </w:rPr>
              <w:t>244.2</w:t>
            </w:r>
          </w:p>
        </w:tc>
      </w:tr>
    </w:tbl>
    <w:p w14:paraId="722D82E3" w14:textId="77777777" w:rsidR="009733EB" w:rsidRPr="006A52EB" w:rsidRDefault="00ED2C87" w:rsidP="00FB389D">
      <w:pPr>
        <w:tabs>
          <w:tab w:val="left" w:pos="180"/>
        </w:tabs>
        <w:ind w:left="180" w:hanging="90"/>
        <w:jc w:val="both"/>
        <w:rPr>
          <w:szCs w:val="24"/>
        </w:rPr>
      </w:pPr>
      <w:r w:rsidRPr="006A52EB">
        <w:rPr>
          <w:szCs w:val="24"/>
          <w:vertAlign w:val="superscript"/>
        </w:rPr>
        <w:t>1</w:t>
      </w:r>
      <w:r w:rsidRPr="006A52EB">
        <w:rPr>
          <w:szCs w:val="24"/>
        </w:rPr>
        <w:t xml:space="preserve"> The PTE emissions reflect any emission limits or enforceable restrictions included in the proposed permit.</w:t>
      </w:r>
    </w:p>
    <w:p w14:paraId="57032F4E" w14:textId="77777777" w:rsidR="00DD0307" w:rsidRDefault="00DD0307" w:rsidP="00104CE2">
      <w:pPr>
        <w:jc w:val="both"/>
        <w:rPr>
          <w:sz w:val="24"/>
          <w:szCs w:val="24"/>
        </w:rPr>
      </w:pPr>
    </w:p>
    <w:p w14:paraId="303AB275" w14:textId="77777777" w:rsidR="00DD0307" w:rsidRDefault="00DD0307" w:rsidP="00BA3BCF">
      <w:pPr>
        <w:jc w:val="both"/>
        <w:rPr>
          <w:sz w:val="24"/>
          <w:szCs w:val="24"/>
          <w:u w:val="single"/>
        </w:rPr>
      </w:pPr>
    </w:p>
    <w:p w14:paraId="56DCF44A" w14:textId="77777777" w:rsidR="00BA3BCF" w:rsidRDefault="00BA3BCF" w:rsidP="006C22D4">
      <w:pPr>
        <w:spacing w:after="120"/>
        <w:jc w:val="both"/>
        <w:rPr>
          <w:sz w:val="24"/>
          <w:szCs w:val="24"/>
          <w:u w:val="single"/>
        </w:rPr>
      </w:pPr>
      <w:r w:rsidRPr="00AD7559">
        <w:rPr>
          <w:sz w:val="24"/>
          <w:szCs w:val="24"/>
          <w:u w:val="single"/>
        </w:rPr>
        <w:t>PREVENTION OF SIGNIFICANT DETERIORATION (PSD) APPLICABILITY</w:t>
      </w:r>
    </w:p>
    <w:p w14:paraId="7594A727" w14:textId="43690F5D" w:rsidR="00BA3BCF" w:rsidRPr="00523BEE" w:rsidRDefault="00F51CA6" w:rsidP="00BA3BCF">
      <w:pPr>
        <w:jc w:val="both"/>
        <w:rPr>
          <w:color w:val="000000" w:themeColor="text1"/>
          <w:sz w:val="24"/>
          <w:szCs w:val="24"/>
        </w:rPr>
      </w:pPr>
      <w:r w:rsidRPr="00F51CA6">
        <w:rPr>
          <w:color w:val="000000" w:themeColor="text1"/>
          <w:sz w:val="24"/>
          <w:szCs w:val="24"/>
        </w:rPr>
        <w:t>Given that the facility is not one (1) of the twenty-eight (28) categorical stationary sources listed in 40 CFR 52.21(b</w:t>
      </w:r>
      <w:proofErr w:type="gramStart"/>
      <w:r w:rsidRPr="00F51CA6">
        <w:rPr>
          <w:color w:val="000000" w:themeColor="text1"/>
          <w:sz w:val="24"/>
          <w:szCs w:val="24"/>
        </w:rPr>
        <w:t>)(</w:t>
      </w:r>
      <w:proofErr w:type="gramEnd"/>
      <w:r w:rsidRPr="00F51CA6">
        <w:rPr>
          <w:color w:val="000000" w:themeColor="text1"/>
          <w:sz w:val="24"/>
          <w:szCs w:val="24"/>
        </w:rPr>
        <w:t xml:space="preserve">1)(i)(c)(iii), the </w:t>
      </w:r>
      <w:r>
        <w:rPr>
          <w:color w:val="000000" w:themeColor="text1"/>
          <w:sz w:val="24"/>
          <w:szCs w:val="24"/>
        </w:rPr>
        <w:t xml:space="preserve">initial </w:t>
      </w:r>
      <w:r w:rsidRPr="00F51CA6">
        <w:rPr>
          <w:color w:val="000000" w:themeColor="text1"/>
          <w:sz w:val="24"/>
          <w:szCs w:val="24"/>
        </w:rPr>
        <w:t xml:space="preserve">applicable </w:t>
      </w:r>
      <w:r>
        <w:rPr>
          <w:color w:val="000000" w:themeColor="text1"/>
          <w:sz w:val="24"/>
          <w:szCs w:val="24"/>
        </w:rPr>
        <w:t xml:space="preserve">PSD </w:t>
      </w:r>
      <w:r w:rsidRPr="00F51CA6">
        <w:rPr>
          <w:color w:val="000000" w:themeColor="text1"/>
          <w:sz w:val="24"/>
          <w:szCs w:val="24"/>
        </w:rPr>
        <w:t>threshold is 250 tpy</w:t>
      </w:r>
      <w:r>
        <w:rPr>
          <w:color w:val="000000" w:themeColor="text1"/>
          <w:sz w:val="24"/>
          <w:szCs w:val="24"/>
        </w:rPr>
        <w:t xml:space="preserve">.  </w:t>
      </w:r>
      <w:r w:rsidR="00FB389D">
        <w:rPr>
          <w:color w:val="000000" w:themeColor="text1"/>
          <w:sz w:val="24"/>
          <w:szCs w:val="24"/>
        </w:rPr>
        <w:t>As such, t</w:t>
      </w:r>
      <w:r>
        <w:rPr>
          <w:color w:val="000000" w:themeColor="text1"/>
          <w:sz w:val="24"/>
          <w:szCs w:val="24"/>
        </w:rPr>
        <w:t xml:space="preserve">he facility has the </w:t>
      </w:r>
      <w:r w:rsidR="00FB389D">
        <w:rPr>
          <w:color w:val="000000" w:themeColor="text1"/>
          <w:sz w:val="24"/>
          <w:szCs w:val="24"/>
        </w:rPr>
        <w:t xml:space="preserve">respective </w:t>
      </w:r>
      <w:r w:rsidR="00BA3BCF" w:rsidRPr="00523BEE">
        <w:rPr>
          <w:color w:val="000000" w:themeColor="text1"/>
          <w:sz w:val="24"/>
          <w:szCs w:val="24"/>
        </w:rPr>
        <w:t xml:space="preserve">potential to emit more </w:t>
      </w:r>
      <w:r>
        <w:rPr>
          <w:color w:val="000000" w:themeColor="text1"/>
          <w:sz w:val="24"/>
          <w:szCs w:val="24"/>
        </w:rPr>
        <w:t>than the</w:t>
      </w:r>
      <w:r w:rsidR="006C22D4" w:rsidRPr="00523BEE">
        <w:rPr>
          <w:color w:val="000000" w:themeColor="text1"/>
          <w:sz w:val="24"/>
          <w:szCs w:val="24"/>
        </w:rPr>
        <w:t xml:space="preserve"> </w:t>
      </w:r>
      <w:r w:rsidR="00FB389D">
        <w:rPr>
          <w:color w:val="000000" w:themeColor="text1"/>
          <w:sz w:val="24"/>
          <w:szCs w:val="24"/>
        </w:rPr>
        <w:t xml:space="preserve">noted </w:t>
      </w:r>
      <w:r w:rsidR="006C22D4" w:rsidRPr="00523BEE">
        <w:rPr>
          <w:color w:val="000000" w:themeColor="text1"/>
          <w:sz w:val="24"/>
          <w:szCs w:val="24"/>
        </w:rPr>
        <w:t xml:space="preserve">threshold </w:t>
      </w:r>
      <w:r>
        <w:rPr>
          <w:color w:val="000000" w:themeColor="text1"/>
          <w:sz w:val="24"/>
          <w:szCs w:val="24"/>
        </w:rPr>
        <w:t>for</w:t>
      </w:r>
      <w:r w:rsidR="00F2344B" w:rsidRPr="00523BEE">
        <w:rPr>
          <w:color w:val="000000" w:themeColor="text1"/>
          <w:sz w:val="24"/>
          <w:szCs w:val="24"/>
        </w:rPr>
        <w:t xml:space="preserve"> </w:t>
      </w:r>
      <w:r w:rsidR="00FB389D">
        <w:rPr>
          <w:color w:val="000000" w:themeColor="text1"/>
          <w:sz w:val="24"/>
          <w:szCs w:val="24"/>
        </w:rPr>
        <w:t>PM</w:t>
      </w:r>
      <w:r>
        <w:rPr>
          <w:color w:val="000000" w:themeColor="text1"/>
          <w:sz w:val="24"/>
          <w:szCs w:val="24"/>
        </w:rPr>
        <w:t>, PM</w:t>
      </w:r>
      <w:r w:rsidRPr="00F51CA6">
        <w:rPr>
          <w:color w:val="000000" w:themeColor="text1"/>
          <w:sz w:val="24"/>
          <w:szCs w:val="24"/>
          <w:vertAlign w:val="subscript"/>
        </w:rPr>
        <w:t>10</w:t>
      </w:r>
      <w:r>
        <w:rPr>
          <w:color w:val="000000" w:themeColor="text1"/>
          <w:sz w:val="24"/>
          <w:szCs w:val="24"/>
        </w:rPr>
        <w:t>, PM</w:t>
      </w:r>
      <w:r w:rsidRPr="00F51CA6">
        <w:rPr>
          <w:color w:val="000000" w:themeColor="text1"/>
          <w:sz w:val="24"/>
          <w:szCs w:val="24"/>
          <w:vertAlign w:val="subscript"/>
        </w:rPr>
        <w:t>2.5</w:t>
      </w:r>
      <w:r w:rsidR="00FB389D">
        <w:rPr>
          <w:color w:val="000000" w:themeColor="text1"/>
          <w:sz w:val="24"/>
          <w:szCs w:val="24"/>
        </w:rPr>
        <w:t xml:space="preserve">, </w:t>
      </w:r>
      <w:r w:rsidR="006C22D4" w:rsidRPr="00523BEE">
        <w:rPr>
          <w:color w:val="000000" w:themeColor="text1"/>
          <w:sz w:val="24"/>
          <w:szCs w:val="24"/>
        </w:rPr>
        <w:t>NO</w:t>
      </w:r>
      <w:r>
        <w:rPr>
          <w:color w:val="000000" w:themeColor="text1"/>
          <w:sz w:val="24"/>
          <w:szCs w:val="24"/>
          <w:vertAlign w:val="subscript"/>
        </w:rPr>
        <w:t>X</w:t>
      </w:r>
      <w:r w:rsidR="006C22D4" w:rsidRPr="00523BEE">
        <w:rPr>
          <w:color w:val="000000" w:themeColor="text1"/>
          <w:sz w:val="24"/>
          <w:szCs w:val="24"/>
        </w:rPr>
        <w:t xml:space="preserve">, </w:t>
      </w:r>
      <w:r w:rsidR="00FB389D">
        <w:rPr>
          <w:color w:val="000000" w:themeColor="text1"/>
          <w:sz w:val="24"/>
          <w:szCs w:val="24"/>
        </w:rPr>
        <w:t>CO</w:t>
      </w:r>
      <w:r w:rsidR="006C22D4" w:rsidRPr="00523BEE">
        <w:rPr>
          <w:color w:val="000000" w:themeColor="text1"/>
          <w:sz w:val="24"/>
          <w:szCs w:val="24"/>
        </w:rPr>
        <w:t>, and VOC</w:t>
      </w:r>
      <w:r>
        <w:rPr>
          <w:color w:val="000000" w:themeColor="text1"/>
          <w:sz w:val="24"/>
          <w:szCs w:val="24"/>
        </w:rPr>
        <w:t>s since its commencement of operations</w:t>
      </w:r>
      <w:r w:rsidR="009E3C18" w:rsidRPr="00523BEE">
        <w:rPr>
          <w:color w:val="000000" w:themeColor="text1"/>
          <w:sz w:val="24"/>
          <w:szCs w:val="24"/>
        </w:rPr>
        <w:t xml:space="preserve">; therefore, the facility is considered a major stationary source.  </w:t>
      </w:r>
      <w:r>
        <w:rPr>
          <w:color w:val="000000" w:themeColor="text1"/>
          <w:sz w:val="24"/>
          <w:szCs w:val="24"/>
        </w:rPr>
        <w:t>However, t</w:t>
      </w:r>
      <w:r w:rsidR="00BA3BCF" w:rsidRPr="00523BEE">
        <w:rPr>
          <w:color w:val="000000" w:themeColor="text1"/>
          <w:sz w:val="24"/>
          <w:szCs w:val="24"/>
        </w:rPr>
        <w:t>his permitting action will not change the current PSD status of the facility.</w:t>
      </w:r>
    </w:p>
    <w:p w14:paraId="62DD6F10" w14:textId="77777777" w:rsidR="00BA3BCF" w:rsidRDefault="00BA3BCF" w:rsidP="00104CE2">
      <w:pPr>
        <w:jc w:val="both"/>
        <w:rPr>
          <w:sz w:val="24"/>
          <w:szCs w:val="24"/>
          <w:u w:val="single"/>
        </w:rPr>
      </w:pPr>
    </w:p>
    <w:p w14:paraId="63FAA83B" w14:textId="77777777" w:rsidR="00BA3BCF" w:rsidRDefault="00BA3BCF" w:rsidP="006C22D4">
      <w:pPr>
        <w:spacing w:after="120"/>
        <w:jc w:val="both"/>
        <w:rPr>
          <w:sz w:val="24"/>
          <w:szCs w:val="24"/>
          <w:u w:val="single"/>
        </w:rPr>
      </w:pPr>
      <w:r>
        <w:rPr>
          <w:sz w:val="24"/>
          <w:szCs w:val="24"/>
          <w:u w:val="single"/>
        </w:rPr>
        <w:t>FACILITY MODIFICATIONS AND/OR PERMIT CHANGES</w:t>
      </w:r>
    </w:p>
    <w:p w14:paraId="2214BD19" w14:textId="07853435" w:rsidR="00BA3BCF" w:rsidRDefault="00F51CA6" w:rsidP="00BA3BCF">
      <w:pPr>
        <w:jc w:val="both"/>
        <w:rPr>
          <w:color w:val="000000" w:themeColor="text1"/>
          <w:sz w:val="24"/>
          <w:szCs w:val="24"/>
        </w:rPr>
      </w:pPr>
      <w:r>
        <w:rPr>
          <w:color w:val="000000" w:themeColor="text1"/>
          <w:sz w:val="24"/>
          <w:szCs w:val="24"/>
        </w:rPr>
        <w:t xml:space="preserve">On July 29, 2015, GP – Taylorsville submitted an </w:t>
      </w:r>
      <w:r w:rsidR="00F66756">
        <w:rPr>
          <w:color w:val="000000" w:themeColor="text1"/>
          <w:sz w:val="24"/>
          <w:szCs w:val="24"/>
        </w:rPr>
        <w:t xml:space="preserve">application requesting the reissuance of its </w:t>
      </w:r>
      <w:r>
        <w:rPr>
          <w:color w:val="000000" w:themeColor="text1"/>
          <w:sz w:val="24"/>
          <w:szCs w:val="24"/>
        </w:rPr>
        <w:t>T</w:t>
      </w:r>
      <w:r w:rsidR="00F66756">
        <w:rPr>
          <w:color w:val="000000" w:themeColor="text1"/>
          <w:sz w:val="24"/>
          <w:szCs w:val="24"/>
        </w:rPr>
        <w:t>itle V Operating Permit</w:t>
      </w:r>
      <w:r w:rsidR="00817857">
        <w:rPr>
          <w:color w:val="000000" w:themeColor="text1"/>
          <w:sz w:val="24"/>
          <w:szCs w:val="24"/>
        </w:rPr>
        <w:t xml:space="preserve"> (TVOP)</w:t>
      </w:r>
      <w:r w:rsidR="00F66756">
        <w:rPr>
          <w:color w:val="000000" w:themeColor="text1"/>
          <w:sz w:val="24"/>
          <w:szCs w:val="24"/>
        </w:rPr>
        <w:t>.  Since the submission of that initial renewal application, the facility has underwent several modifications through the issuance of separate Permits to Construct Air Emissions Equipment and 502(b</w:t>
      </w:r>
      <w:proofErr w:type="gramStart"/>
      <w:r w:rsidR="00F66756">
        <w:rPr>
          <w:color w:val="000000" w:themeColor="text1"/>
          <w:sz w:val="24"/>
          <w:szCs w:val="24"/>
        </w:rPr>
        <w:t>)(</w:t>
      </w:r>
      <w:proofErr w:type="gramEnd"/>
      <w:r w:rsidR="00F66756">
        <w:rPr>
          <w:color w:val="000000" w:themeColor="text1"/>
          <w:sz w:val="24"/>
          <w:szCs w:val="24"/>
        </w:rPr>
        <w:t>10) modification requests.  As a result, t</w:t>
      </w:r>
      <w:r w:rsidR="006C22D4" w:rsidRPr="00523BEE">
        <w:rPr>
          <w:color w:val="000000" w:themeColor="text1"/>
          <w:sz w:val="24"/>
          <w:szCs w:val="24"/>
        </w:rPr>
        <w:t xml:space="preserve">he following changes </w:t>
      </w:r>
      <w:proofErr w:type="gramStart"/>
      <w:r>
        <w:rPr>
          <w:color w:val="000000" w:themeColor="text1"/>
          <w:sz w:val="24"/>
          <w:szCs w:val="24"/>
        </w:rPr>
        <w:t>will be incorporated</w:t>
      </w:r>
      <w:proofErr w:type="gramEnd"/>
      <w:r>
        <w:rPr>
          <w:color w:val="000000" w:themeColor="text1"/>
          <w:sz w:val="24"/>
          <w:szCs w:val="24"/>
        </w:rPr>
        <w:t xml:space="preserve"> into the renewed </w:t>
      </w:r>
      <w:r w:rsidR="00817857">
        <w:rPr>
          <w:color w:val="000000" w:themeColor="text1"/>
          <w:sz w:val="24"/>
          <w:szCs w:val="24"/>
        </w:rPr>
        <w:t>TVOP</w:t>
      </w:r>
      <w:r w:rsidR="006C22D4" w:rsidRPr="00523BEE">
        <w:rPr>
          <w:color w:val="000000" w:themeColor="text1"/>
          <w:sz w:val="24"/>
          <w:szCs w:val="24"/>
        </w:rPr>
        <w:t>:</w:t>
      </w:r>
    </w:p>
    <w:p w14:paraId="1C309698" w14:textId="77777777" w:rsidR="007155E9" w:rsidRPr="00523BEE" w:rsidRDefault="007155E9" w:rsidP="00BA3BCF">
      <w:pPr>
        <w:jc w:val="both"/>
        <w:rPr>
          <w:color w:val="000000" w:themeColor="text1"/>
          <w:sz w:val="24"/>
          <w:szCs w:val="24"/>
        </w:rPr>
      </w:pPr>
    </w:p>
    <w:p w14:paraId="10A71D82" w14:textId="54A4E0FB" w:rsidR="00A042AE" w:rsidRPr="00523BEE" w:rsidRDefault="00AB276C" w:rsidP="007155E9">
      <w:pPr>
        <w:numPr>
          <w:ilvl w:val="0"/>
          <w:numId w:val="3"/>
        </w:numPr>
        <w:spacing w:after="240"/>
        <w:ind w:left="360"/>
        <w:jc w:val="both"/>
        <w:rPr>
          <w:color w:val="000000" w:themeColor="text1"/>
          <w:sz w:val="24"/>
          <w:szCs w:val="24"/>
        </w:rPr>
      </w:pPr>
      <w:r w:rsidRPr="006F4E41">
        <w:rPr>
          <w:i/>
          <w:color w:val="000000" w:themeColor="text1"/>
          <w:sz w:val="24"/>
          <w:szCs w:val="24"/>
          <w:u w:val="single"/>
        </w:rPr>
        <w:t>502(b)(10) modification requests</w:t>
      </w:r>
      <w:r w:rsidR="00A042AE" w:rsidRPr="00523BEE">
        <w:rPr>
          <w:color w:val="000000" w:themeColor="text1"/>
          <w:sz w:val="24"/>
          <w:szCs w:val="24"/>
        </w:rPr>
        <w:t>:</w:t>
      </w:r>
    </w:p>
    <w:p w14:paraId="7623CB41" w14:textId="31247709" w:rsidR="00A042AE" w:rsidRDefault="00AB276C" w:rsidP="008F7EBF">
      <w:pPr>
        <w:numPr>
          <w:ilvl w:val="0"/>
          <w:numId w:val="4"/>
        </w:numPr>
        <w:spacing w:after="240"/>
        <w:ind w:left="900" w:hanging="540"/>
        <w:jc w:val="both"/>
        <w:rPr>
          <w:color w:val="000000" w:themeColor="text1"/>
          <w:sz w:val="24"/>
          <w:szCs w:val="24"/>
        </w:rPr>
      </w:pPr>
      <w:r>
        <w:rPr>
          <w:color w:val="000000" w:themeColor="text1"/>
          <w:sz w:val="24"/>
          <w:szCs w:val="24"/>
        </w:rPr>
        <w:t>The a</w:t>
      </w:r>
      <w:r w:rsidR="00A042AE" w:rsidRPr="00523BEE">
        <w:rPr>
          <w:color w:val="000000" w:themeColor="text1"/>
          <w:sz w:val="24"/>
          <w:szCs w:val="24"/>
        </w:rPr>
        <w:t xml:space="preserve">pplication of a new release agent </w:t>
      </w:r>
      <w:r>
        <w:rPr>
          <w:color w:val="000000" w:themeColor="text1"/>
          <w:sz w:val="24"/>
          <w:szCs w:val="24"/>
        </w:rPr>
        <w:t xml:space="preserve">(Utility Release Concrete from </w:t>
      </w:r>
      <w:proofErr w:type="spellStart"/>
      <w:r>
        <w:rPr>
          <w:color w:val="000000" w:themeColor="text1"/>
          <w:sz w:val="24"/>
          <w:szCs w:val="24"/>
        </w:rPr>
        <w:t>Nox</w:t>
      </w:r>
      <w:proofErr w:type="spellEnd"/>
      <w:r>
        <w:rPr>
          <w:color w:val="000000" w:themeColor="text1"/>
          <w:sz w:val="24"/>
          <w:szCs w:val="24"/>
        </w:rPr>
        <w:t>-Crete) on</w:t>
      </w:r>
      <w:r w:rsidR="00A042AE" w:rsidRPr="00523BEE">
        <w:rPr>
          <w:color w:val="000000" w:themeColor="text1"/>
          <w:sz w:val="24"/>
          <w:szCs w:val="24"/>
        </w:rPr>
        <w:t xml:space="preserve">to plywood </w:t>
      </w:r>
      <w:r>
        <w:rPr>
          <w:color w:val="000000" w:themeColor="text1"/>
          <w:sz w:val="24"/>
          <w:szCs w:val="24"/>
        </w:rPr>
        <w:t xml:space="preserve">panels </w:t>
      </w:r>
      <w:r w:rsidR="00A042AE" w:rsidRPr="00523BEE">
        <w:rPr>
          <w:color w:val="000000" w:themeColor="text1"/>
          <w:sz w:val="24"/>
          <w:szCs w:val="24"/>
        </w:rPr>
        <w:t xml:space="preserve">used </w:t>
      </w:r>
      <w:r>
        <w:rPr>
          <w:color w:val="000000" w:themeColor="text1"/>
          <w:sz w:val="24"/>
          <w:szCs w:val="24"/>
        </w:rPr>
        <w:t xml:space="preserve">to form poured concrete </w:t>
      </w:r>
      <w:r w:rsidR="000F3232">
        <w:rPr>
          <w:color w:val="000000" w:themeColor="text1"/>
          <w:sz w:val="24"/>
          <w:szCs w:val="24"/>
        </w:rPr>
        <w:t>[</w:t>
      </w:r>
      <w:r>
        <w:rPr>
          <w:color w:val="000000" w:themeColor="text1"/>
          <w:sz w:val="24"/>
          <w:szCs w:val="24"/>
        </w:rPr>
        <w:t>received on December 13, 2011</w:t>
      </w:r>
      <w:r w:rsidR="000F3232">
        <w:rPr>
          <w:color w:val="000000" w:themeColor="text1"/>
          <w:sz w:val="24"/>
          <w:szCs w:val="24"/>
        </w:rPr>
        <w:t>]</w:t>
      </w:r>
      <w:r>
        <w:rPr>
          <w:color w:val="000000" w:themeColor="text1"/>
          <w:sz w:val="24"/>
          <w:szCs w:val="24"/>
        </w:rPr>
        <w:t>;</w:t>
      </w:r>
    </w:p>
    <w:p w14:paraId="5639844F" w14:textId="5979BB5B" w:rsidR="00A042AE" w:rsidRDefault="00B04BDB" w:rsidP="008F7EBF">
      <w:pPr>
        <w:numPr>
          <w:ilvl w:val="0"/>
          <w:numId w:val="4"/>
        </w:numPr>
        <w:spacing w:after="240"/>
        <w:ind w:left="900" w:hanging="540"/>
        <w:jc w:val="both"/>
        <w:rPr>
          <w:color w:val="000000" w:themeColor="text1"/>
          <w:sz w:val="24"/>
          <w:szCs w:val="24"/>
        </w:rPr>
      </w:pPr>
      <w:r>
        <w:rPr>
          <w:color w:val="000000" w:themeColor="text1"/>
          <w:sz w:val="24"/>
          <w:szCs w:val="24"/>
        </w:rPr>
        <w:t xml:space="preserve">The replacement of the existing PLC-based Elliot Bay dryer control system on the plywood veneer dryers No. 1, 3, and 4 with the </w:t>
      </w:r>
      <w:proofErr w:type="spellStart"/>
      <w:r>
        <w:rPr>
          <w:color w:val="000000" w:themeColor="text1"/>
          <w:sz w:val="24"/>
          <w:szCs w:val="24"/>
        </w:rPr>
        <w:t>Ventek</w:t>
      </w:r>
      <w:proofErr w:type="spellEnd"/>
      <w:r>
        <w:rPr>
          <w:color w:val="000000" w:themeColor="text1"/>
          <w:sz w:val="24"/>
          <w:szCs w:val="24"/>
        </w:rPr>
        <w:t xml:space="preserve"> Sequoia package and the installation of new cooling fans to the dryer controls on all four (4) dryers </w:t>
      </w:r>
      <w:r w:rsidR="000F3232">
        <w:rPr>
          <w:color w:val="000000" w:themeColor="text1"/>
          <w:sz w:val="24"/>
          <w:szCs w:val="24"/>
        </w:rPr>
        <w:t>[</w:t>
      </w:r>
      <w:r>
        <w:rPr>
          <w:color w:val="000000" w:themeColor="text1"/>
          <w:sz w:val="24"/>
          <w:szCs w:val="24"/>
        </w:rPr>
        <w:t>received on September 10, 2012</w:t>
      </w:r>
      <w:r w:rsidR="000F3232">
        <w:rPr>
          <w:color w:val="000000" w:themeColor="text1"/>
          <w:sz w:val="24"/>
          <w:szCs w:val="24"/>
        </w:rPr>
        <w:t>]</w:t>
      </w:r>
      <w:r>
        <w:rPr>
          <w:color w:val="000000" w:themeColor="text1"/>
          <w:sz w:val="24"/>
          <w:szCs w:val="24"/>
        </w:rPr>
        <w:t>;</w:t>
      </w:r>
    </w:p>
    <w:p w14:paraId="7795A2BD" w14:textId="4B4A024B" w:rsidR="00A042AE" w:rsidRDefault="007B5B5B" w:rsidP="008F7EBF">
      <w:pPr>
        <w:numPr>
          <w:ilvl w:val="0"/>
          <w:numId w:val="4"/>
        </w:numPr>
        <w:spacing w:after="240"/>
        <w:ind w:left="900" w:hanging="540"/>
        <w:jc w:val="both"/>
        <w:rPr>
          <w:color w:val="000000" w:themeColor="text1"/>
          <w:sz w:val="24"/>
          <w:szCs w:val="24"/>
        </w:rPr>
      </w:pPr>
      <w:r>
        <w:rPr>
          <w:color w:val="000000" w:themeColor="text1"/>
          <w:sz w:val="24"/>
          <w:szCs w:val="24"/>
        </w:rPr>
        <w:t xml:space="preserve">The upgrade of the hydraulic systems on three (3) of the four (4) existing plywood presses, the replacement of a shaker screen, and the </w:t>
      </w:r>
      <w:r w:rsidR="00596A40">
        <w:rPr>
          <w:color w:val="000000" w:themeColor="text1"/>
          <w:sz w:val="24"/>
          <w:szCs w:val="24"/>
        </w:rPr>
        <w:t xml:space="preserve">replacement of a baghouse blower fan </w:t>
      </w:r>
      <w:r w:rsidR="000F3232">
        <w:rPr>
          <w:color w:val="000000" w:themeColor="text1"/>
          <w:sz w:val="24"/>
          <w:szCs w:val="24"/>
        </w:rPr>
        <w:t>[</w:t>
      </w:r>
      <w:r w:rsidR="00596A40">
        <w:rPr>
          <w:color w:val="000000" w:themeColor="text1"/>
          <w:sz w:val="24"/>
          <w:szCs w:val="24"/>
        </w:rPr>
        <w:t>received on November 28, 2012</w:t>
      </w:r>
      <w:r w:rsidR="000F3232">
        <w:rPr>
          <w:color w:val="000000" w:themeColor="text1"/>
          <w:sz w:val="24"/>
          <w:szCs w:val="24"/>
        </w:rPr>
        <w:t>]</w:t>
      </w:r>
      <w:r w:rsidR="00596A40">
        <w:rPr>
          <w:color w:val="000000" w:themeColor="text1"/>
          <w:sz w:val="24"/>
          <w:szCs w:val="24"/>
        </w:rPr>
        <w:t>;</w:t>
      </w:r>
    </w:p>
    <w:p w14:paraId="3A142ECE" w14:textId="00EB66BF" w:rsidR="007B5B5B" w:rsidRDefault="00596A40" w:rsidP="008F7EBF">
      <w:pPr>
        <w:numPr>
          <w:ilvl w:val="0"/>
          <w:numId w:val="4"/>
        </w:numPr>
        <w:spacing w:after="240"/>
        <w:ind w:left="900" w:hanging="540"/>
        <w:jc w:val="both"/>
        <w:rPr>
          <w:color w:val="000000" w:themeColor="text1"/>
          <w:sz w:val="24"/>
          <w:szCs w:val="24"/>
        </w:rPr>
      </w:pPr>
      <w:r>
        <w:rPr>
          <w:color w:val="000000" w:themeColor="text1"/>
          <w:sz w:val="24"/>
          <w:szCs w:val="24"/>
        </w:rPr>
        <w:t>The a</w:t>
      </w:r>
      <w:r w:rsidR="007B5B5B" w:rsidRPr="007B5B5B">
        <w:rPr>
          <w:color w:val="000000" w:themeColor="text1"/>
          <w:sz w:val="24"/>
          <w:szCs w:val="24"/>
        </w:rPr>
        <w:t>ddition of a patch line in the finishing department</w:t>
      </w:r>
      <w:r w:rsidR="00CB0E99">
        <w:rPr>
          <w:color w:val="000000" w:themeColor="text1"/>
          <w:sz w:val="24"/>
          <w:szCs w:val="24"/>
        </w:rPr>
        <w:t xml:space="preserve"> </w:t>
      </w:r>
      <w:r w:rsidR="000F3232">
        <w:rPr>
          <w:color w:val="000000" w:themeColor="text1"/>
          <w:sz w:val="24"/>
          <w:szCs w:val="24"/>
        </w:rPr>
        <w:t>[</w:t>
      </w:r>
      <w:r w:rsidR="00CB0E99">
        <w:rPr>
          <w:color w:val="000000" w:themeColor="text1"/>
          <w:sz w:val="24"/>
          <w:szCs w:val="24"/>
        </w:rPr>
        <w:t>received on February 6, 2013</w:t>
      </w:r>
      <w:r w:rsidR="000F3232">
        <w:rPr>
          <w:color w:val="000000" w:themeColor="text1"/>
          <w:sz w:val="24"/>
          <w:szCs w:val="24"/>
        </w:rPr>
        <w:t>]</w:t>
      </w:r>
      <w:r w:rsidR="00CB0E99">
        <w:rPr>
          <w:color w:val="000000" w:themeColor="text1"/>
          <w:sz w:val="24"/>
          <w:szCs w:val="24"/>
        </w:rPr>
        <w:t>;</w:t>
      </w:r>
    </w:p>
    <w:p w14:paraId="344DB3E9" w14:textId="06762CB1" w:rsidR="000F3232" w:rsidRDefault="000F3232" w:rsidP="008F7EBF">
      <w:pPr>
        <w:numPr>
          <w:ilvl w:val="0"/>
          <w:numId w:val="4"/>
        </w:numPr>
        <w:spacing w:after="240"/>
        <w:ind w:left="900" w:hanging="540"/>
        <w:jc w:val="both"/>
        <w:rPr>
          <w:color w:val="000000" w:themeColor="text1"/>
          <w:sz w:val="24"/>
          <w:szCs w:val="24"/>
        </w:rPr>
      </w:pPr>
      <w:r>
        <w:rPr>
          <w:color w:val="000000" w:themeColor="text1"/>
          <w:sz w:val="24"/>
          <w:szCs w:val="24"/>
        </w:rPr>
        <w:t xml:space="preserve">Install new variable frequency drives (VFD) to control </w:t>
      </w:r>
      <w:r w:rsidR="000105B5">
        <w:rPr>
          <w:color w:val="000000" w:themeColor="text1"/>
          <w:sz w:val="24"/>
          <w:szCs w:val="24"/>
        </w:rPr>
        <w:t xml:space="preserve">the </w:t>
      </w:r>
      <w:r>
        <w:rPr>
          <w:color w:val="000000" w:themeColor="text1"/>
          <w:sz w:val="24"/>
          <w:szCs w:val="24"/>
        </w:rPr>
        <w:t>existing ID fan motors on Boilers No. 1 and 3 [received on April 3, 2013];</w:t>
      </w:r>
    </w:p>
    <w:p w14:paraId="528F845F" w14:textId="68CA3651" w:rsidR="0080760E" w:rsidRDefault="0080760E" w:rsidP="008F7EBF">
      <w:pPr>
        <w:numPr>
          <w:ilvl w:val="0"/>
          <w:numId w:val="4"/>
        </w:numPr>
        <w:spacing w:after="240"/>
        <w:ind w:left="900" w:hanging="540"/>
        <w:jc w:val="both"/>
        <w:rPr>
          <w:color w:val="000000" w:themeColor="text1"/>
          <w:sz w:val="24"/>
          <w:szCs w:val="24"/>
        </w:rPr>
      </w:pPr>
      <w:r>
        <w:rPr>
          <w:color w:val="000000" w:themeColor="text1"/>
          <w:sz w:val="24"/>
          <w:szCs w:val="24"/>
        </w:rPr>
        <w:t>The replacement of the East Bark Hog, the rebuild of three (3) sander heads for plywood panel production (from a total of six), and the replacement of the sander dust cyclone [received on April 25, 2013];</w:t>
      </w:r>
    </w:p>
    <w:p w14:paraId="53DE6651" w14:textId="2F106A90" w:rsidR="008B4AEA" w:rsidRDefault="008B4AEA" w:rsidP="008F7EBF">
      <w:pPr>
        <w:numPr>
          <w:ilvl w:val="0"/>
          <w:numId w:val="4"/>
        </w:numPr>
        <w:spacing w:after="240"/>
        <w:ind w:left="900" w:hanging="540"/>
        <w:jc w:val="both"/>
        <w:rPr>
          <w:color w:val="000000" w:themeColor="text1"/>
          <w:sz w:val="24"/>
          <w:szCs w:val="24"/>
        </w:rPr>
      </w:pPr>
      <w:r>
        <w:rPr>
          <w:color w:val="000000" w:themeColor="text1"/>
          <w:sz w:val="24"/>
          <w:szCs w:val="24"/>
        </w:rPr>
        <w:t>The installation of a knife hog (i.e. a re-chipper) and an associated cyclone to process oversized green chips produced on-site [received on May 29, 2013];</w:t>
      </w:r>
    </w:p>
    <w:p w14:paraId="61B6CE06" w14:textId="57D696BC" w:rsidR="008B4AEA" w:rsidRDefault="00F26641" w:rsidP="008F7EBF">
      <w:pPr>
        <w:numPr>
          <w:ilvl w:val="0"/>
          <w:numId w:val="4"/>
        </w:numPr>
        <w:spacing w:after="240"/>
        <w:ind w:left="900" w:hanging="540"/>
        <w:jc w:val="both"/>
        <w:rPr>
          <w:color w:val="000000" w:themeColor="text1"/>
          <w:sz w:val="24"/>
          <w:szCs w:val="24"/>
        </w:rPr>
      </w:pPr>
      <w:r>
        <w:rPr>
          <w:color w:val="000000" w:themeColor="text1"/>
          <w:sz w:val="24"/>
          <w:szCs w:val="24"/>
        </w:rPr>
        <w:t>The collective replacement of the bark hog shaker screen, the No. 1 boiler feeder conveyor shaft, the fuel conveyor chain, and the No. 2 and No. 3 return trays / runners in addition to the use of an automatic stacker device on the No. 3 dryer and the rebuild of the No. 4 plywood press hydraulic power system [received on November 18, 2013];</w:t>
      </w:r>
    </w:p>
    <w:p w14:paraId="74602FA5" w14:textId="598ED8F3" w:rsidR="003136F1" w:rsidRDefault="003136F1" w:rsidP="008F7EBF">
      <w:pPr>
        <w:numPr>
          <w:ilvl w:val="0"/>
          <w:numId w:val="4"/>
        </w:numPr>
        <w:spacing w:after="240"/>
        <w:ind w:left="900" w:hanging="540"/>
        <w:jc w:val="both"/>
        <w:rPr>
          <w:color w:val="000000" w:themeColor="text1"/>
          <w:sz w:val="24"/>
          <w:szCs w:val="24"/>
        </w:rPr>
      </w:pPr>
      <w:r>
        <w:rPr>
          <w:color w:val="000000" w:themeColor="text1"/>
          <w:sz w:val="24"/>
          <w:szCs w:val="24"/>
        </w:rPr>
        <w:lastRenderedPageBreak/>
        <w:t>The use of a resin formulation in the glue line that contains up to five percent (5%) urea [received on February 4, 2014];</w:t>
      </w:r>
    </w:p>
    <w:p w14:paraId="5D0936E3" w14:textId="5774F621" w:rsidR="00704C1D" w:rsidRDefault="006F4E41" w:rsidP="008F7EBF">
      <w:pPr>
        <w:numPr>
          <w:ilvl w:val="0"/>
          <w:numId w:val="4"/>
        </w:numPr>
        <w:spacing w:after="240"/>
        <w:ind w:left="900" w:hanging="540"/>
        <w:jc w:val="both"/>
        <w:rPr>
          <w:color w:val="000000" w:themeColor="text1"/>
          <w:sz w:val="24"/>
          <w:szCs w:val="24"/>
        </w:rPr>
      </w:pPr>
      <w:r>
        <w:rPr>
          <w:color w:val="000000" w:themeColor="text1"/>
          <w:sz w:val="24"/>
          <w:szCs w:val="24"/>
        </w:rPr>
        <w:t>The installation of a new ladder in-feed to allow green lumber to bypass the core machine and go straight into the sorter system [received on March 21, 2014];</w:t>
      </w:r>
    </w:p>
    <w:p w14:paraId="51C8CBA1" w14:textId="47A4E439" w:rsidR="008F36A9" w:rsidRDefault="008F36A9" w:rsidP="007155E9">
      <w:pPr>
        <w:numPr>
          <w:ilvl w:val="0"/>
          <w:numId w:val="4"/>
        </w:numPr>
        <w:spacing w:after="240"/>
        <w:ind w:left="900" w:hanging="540"/>
        <w:jc w:val="both"/>
        <w:rPr>
          <w:color w:val="000000" w:themeColor="text1"/>
          <w:sz w:val="24"/>
          <w:szCs w:val="24"/>
        </w:rPr>
      </w:pPr>
      <w:r>
        <w:rPr>
          <w:color w:val="000000" w:themeColor="text1"/>
          <w:sz w:val="24"/>
          <w:szCs w:val="24"/>
        </w:rPr>
        <w:t xml:space="preserve">The replacement (or rebuilding) of three (3) </w:t>
      </w:r>
      <w:r w:rsidR="008F7EBF">
        <w:rPr>
          <w:color w:val="000000" w:themeColor="text1"/>
          <w:sz w:val="24"/>
          <w:szCs w:val="24"/>
        </w:rPr>
        <w:t xml:space="preserve">existing </w:t>
      </w:r>
      <w:r>
        <w:rPr>
          <w:color w:val="000000" w:themeColor="text1"/>
          <w:sz w:val="24"/>
          <w:szCs w:val="24"/>
        </w:rPr>
        <w:t>air com</w:t>
      </w:r>
      <w:r w:rsidR="008F7EBF">
        <w:rPr>
          <w:color w:val="000000" w:themeColor="text1"/>
          <w:sz w:val="24"/>
          <w:szCs w:val="24"/>
        </w:rPr>
        <w:t>pressors, the installation of a new</w:t>
      </w:r>
      <w:r>
        <w:rPr>
          <w:color w:val="000000" w:themeColor="text1"/>
          <w:sz w:val="24"/>
          <w:szCs w:val="24"/>
        </w:rPr>
        <w:t xml:space="preserve"> auto feed and accumulator on dryer No. 3, </w:t>
      </w:r>
      <w:r w:rsidR="008F7EBF">
        <w:rPr>
          <w:color w:val="000000" w:themeColor="text1"/>
          <w:sz w:val="24"/>
          <w:szCs w:val="24"/>
        </w:rPr>
        <w:t>the installation of a new accumulator on dryer No. 4, the replacement of the existing flying cut-off system, and the replacement of the existing east bark hog [received on September 15, 2014];</w:t>
      </w:r>
    </w:p>
    <w:p w14:paraId="1BD43E78" w14:textId="637A4D3F" w:rsidR="008F7EBF" w:rsidRDefault="002333AC" w:rsidP="007155E9">
      <w:pPr>
        <w:numPr>
          <w:ilvl w:val="0"/>
          <w:numId w:val="4"/>
        </w:numPr>
        <w:spacing w:after="240"/>
        <w:ind w:left="900" w:hanging="540"/>
        <w:jc w:val="both"/>
        <w:rPr>
          <w:color w:val="000000" w:themeColor="text1"/>
          <w:sz w:val="24"/>
          <w:szCs w:val="24"/>
        </w:rPr>
      </w:pPr>
      <w:r>
        <w:rPr>
          <w:color w:val="000000" w:themeColor="text1"/>
          <w:sz w:val="24"/>
          <w:szCs w:val="24"/>
        </w:rPr>
        <w:t>The replacement of the two (2) existing veneer chippers and the upgrading of the Top / Bottom Sander Baghouses [received on March 3, 2015];</w:t>
      </w:r>
    </w:p>
    <w:p w14:paraId="5B417D2B" w14:textId="0F464076" w:rsidR="003F2900" w:rsidRDefault="003F2900" w:rsidP="007155E9">
      <w:pPr>
        <w:numPr>
          <w:ilvl w:val="0"/>
          <w:numId w:val="4"/>
        </w:numPr>
        <w:spacing w:after="240"/>
        <w:ind w:left="900" w:hanging="540"/>
        <w:jc w:val="both"/>
        <w:rPr>
          <w:color w:val="000000" w:themeColor="text1"/>
          <w:sz w:val="24"/>
          <w:szCs w:val="24"/>
        </w:rPr>
      </w:pPr>
      <w:r w:rsidRPr="00523BEE">
        <w:rPr>
          <w:color w:val="000000" w:themeColor="text1"/>
          <w:sz w:val="24"/>
          <w:szCs w:val="24"/>
        </w:rPr>
        <w:t xml:space="preserve">Increase </w:t>
      </w:r>
      <w:r w:rsidR="00C54C03">
        <w:rPr>
          <w:color w:val="000000" w:themeColor="text1"/>
          <w:sz w:val="24"/>
          <w:szCs w:val="24"/>
        </w:rPr>
        <w:t>the</w:t>
      </w:r>
      <w:r w:rsidRPr="00523BEE">
        <w:rPr>
          <w:color w:val="000000" w:themeColor="text1"/>
          <w:sz w:val="24"/>
          <w:szCs w:val="24"/>
        </w:rPr>
        <w:t xml:space="preserve"> speed of the fan used for the pneumatic system for the </w:t>
      </w:r>
      <w:r w:rsidR="00C54C03">
        <w:rPr>
          <w:color w:val="000000" w:themeColor="text1"/>
          <w:sz w:val="24"/>
          <w:szCs w:val="24"/>
        </w:rPr>
        <w:t>t</w:t>
      </w:r>
      <w:r w:rsidRPr="00523BEE">
        <w:rPr>
          <w:color w:val="000000" w:themeColor="text1"/>
          <w:sz w:val="24"/>
          <w:szCs w:val="24"/>
        </w:rPr>
        <w:t xml:space="preserve">op </w:t>
      </w:r>
      <w:r w:rsidR="00C54C03">
        <w:rPr>
          <w:color w:val="000000" w:themeColor="text1"/>
          <w:sz w:val="24"/>
          <w:szCs w:val="24"/>
        </w:rPr>
        <w:t>h</w:t>
      </w:r>
      <w:r w:rsidRPr="00523BEE">
        <w:rPr>
          <w:color w:val="000000" w:themeColor="text1"/>
          <w:sz w:val="24"/>
          <w:szCs w:val="24"/>
        </w:rPr>
        <w:t xml:space="preserve">eads on the </w:t>
      </w:r>
      <w:r w:rsidR="00C54C03">
        <w:rPr>
          <w:color w:val="000000" w:themeColor="text1"/>
          <w:sz w:val="24"/>
          <w:szCs w:val="24"/>
        </w:rPr>
        <w:t>s</w:t>
      </w:r>
      <w:r w:rsidRPr="00523BEE">
        <w:rPr>
          <w:color w:val="000000" w:themeColor="text1"/>
          <w:sz w:val="24"/>
          <w:szCs w:val="24"/>
        </w:rPr>
        <w:t>an</w:t>
      </w:r>
      <w:r w:rsidR="00C531A9">
        <w:rPr>
          <w:color w:val="000000" w:themeColor="text1"/>
          <w:sz w:val="24"/>
          <w:szCs w:val="24"/>
        </w:rPr>
        <w:t>der</w:t>
      </w:r>
      <w:r w:rsidR="00C54C03">
        <w:rPr>
          <w:color w:val="000000" w:themeColor="text1"/>
          <w:sz w:val="24"/>
          <w:szCs w:val="24"/>
        </w:rPr>
        <w:t xml:space="preserve"> [received on July 13, 2015];</w:t>
      </w:r>
    </w:p>
    <w:p w14:paraId="4A73D7A0" w14:textId="679593CF" w:rsidR="00C54C03" w:rsidRDefault="00C54C03" w:rsidP="007155E9">
      <w:pPr>
        <w:numPr>
          <w:ilvl w:val="0"/>
          <w:numId w:val="4"/>
        </w:numPr>
        <w:spacing w:after="240"/>
        <w:ind w:left="900" w:hanging="540"/>
        <w:jc w:val="both"/>
        <w:rPr>
          <w:color w:val="000000" w:themeColor="text1"/>
          <w:sz w:val="24"/>
          <w:szCs w:val="24"/>
        </w:rPr>
      </w:pPr>
      <w:r>
        <w:rPr>
          <w:color w:val="000000" w:themeColor="text1"/>
          <w:sz w:val="24"/>
          <w:szCs w:val="24"/>
        </w:rPr>
        <w:t>Use of a portable and temporary horizontal tub grinder to grind solid bark waste on-site approximately four (4) times each year for a two-day period [received on October 21, 201</w:t>
      </w:r>
      <w:r w:rsidR="00AB0761">
        <w:rPr>
          <w:color w:val="000000" w:themeColor="text1"/>
          <w:sz w:val="24"/>
          <w:szCs w:val="24"/>
        </w:rPr>
        <w:t>5</w:t>
      </w:r>
      <w:r>
        <w:rPr>
          <w:color w:val="000000" w:themeColor="text1"/>
          <w:sz w:val="24"/>
          <w:szCs w:val="24"/>
        </w:rPr>
        <w:t>]</w:t>
      </w:r>
      <w:r w:rsidR="00AB0761">
        <w:rPr>
          <w:color w:val="000000" w:themeColor="text1"/>
          <w:sz w:val="24"/>
          <w:szCs w:val="24"/>
        </w:rPr>
        <w:t>;</w:t>
      </w:r>
    </w:p>
    <w:p w14:paraId="70545E9D" w14:textId="68FA4FF2" w:rsidR="00AB0761" w:rsidRDefault="00AB0761" w:rsidP="007155E9">
      <w:pPr>
        <w:numPr>
          <w:ilvl w:val="0"/>
          <w:numId w:val="4"/>
        </w:numPr>
        <w:spacing w:after="240"/>
        <w:ind w:left="900" w:hanging="540"/>
        <w:jc w:val="both"/>
        <w:rPr>
          <w:color w:val="000000" w:themeColor="text1"/>
          <w:sz w:val="24"/>
          <w:szCs w:val="24"/>
        </w:rPr>
      </w:pPr>
      <w:r>
        <w:rPr>
          <w:color w:val="000000" w:themeColor="text1"/>
          <w:sz w:val="24"/>
          <w:szCs w:val="24"/>
        </w:rPr>
        <w:t>Use of an emergency back-up cyclone for green chip bin loading operations and the replacement of existing motors associated with</w:t>
      </w:r>
      <w:r w:rsidR="00F535A6">
        <w:rPr>
          <w:color w:val="000000" w:themeColor="text1"/>
          <w:sz w:val="24"/>
          <w:szCs w:val="24"/>
        </w:rPr>
        <w:t xml:space="preserve"> the fans using the veneer dryers No. 1 through 3 [received on October 29, 2015];</w:t>
      </w:r>
    </w:p>
    <w:p w14:paraId="65D9E8E1" w14:textId="3357AC41" w:rsidR="00F535A6" w:rsidRDefault="00F535A6" w:rsidP="007155E9">
      <w:pPr>
        <w:numPr>
          <w:ilvl w:val="0"/>
          <w:numId w:val="4"/>
        </w:numPr>
        <w:spacing w:after="240"/>
        <w:ind w:left="900" w:hanging="540"/>
        <w:jc w:val="both"/>
        <w:rPr>
          <w:color w:val="000000" w:themeColor="text1"/>
          <w:sz w:val="24"/>
          <w:szCs w:val="24"/>
        </w:rPr>
      </w:pPr>
      <w:r>
        <w:rPr>
          <w:color w:val="000000" w:themeColor="text1"/>
          <w:sz w:val="24"/>
          <w:szCs w:val="24"/>
        </w:rPr>
        <w:t xml:space="preserve">The upgrading of the wood residuals cyclone system and the replacement of the sheaves on the fans associated with the </w:t>
      </w:r>
      <w:r w:rsidR="005011CF">
        <w:rPr>
          <w:color w:val="000000" w:themeColor="text1"/>
          <w:sz w:val="24"/>
          <w:szCs w:val="24"/>
        </w:rPr>
        <w:t>Top / Bottom Sander Operations to increase air flow [received on January 7, 2016];</w:t>
      </w:r>
    </w:p>
    <w:p w14:paraId="45781853" w14:textId="1CE34713" w:rsidR="005011CF" w:rsidRDefault="005011CF" w:rsidP="007155E9">
      <w:pPr>
        <w:numPr>
          <w:ilvl w:val="0"/>
          <w:numId w:val="4"/>
        </w:numPr>
        <w:spacing w:after="240"/>
        <w:ind w:left="900" w:hanging="540"/>
        <w:jc w:val="both"/>
        <w:rPr>
          <w:color w:val="000000" w:themeColor="text1"/>
          <w:sz w:val="24"/>
          <w:szCs w:val="24"/>
        </w:rPr>
      </w:pPr>
      <w:r>
        <w:rPr>
          <w:color w:val="000000" w:themeColor="text1"/>
          <w:sz w:val="24"/>
          <w:szCs w:val="24"/>
        </w:rPr>
        <w:t>Combine the Top / Bottom Sander Baghouses into a single system and implement upgrades / modifications [received on May 6, 2016];</w:t>
      </w:r>
    </w:p>
    <w:p w14:paraId="562A67DC" w14:textId="1A7DFC94" w:rsidR="00706AEF" w:rsidRPr="00C531A9" w:rsidRDefault="00706AEF" w:rsidP="007155E9">
      <w:pPr>
        <w:numPr>
          <w:ilvl w:val="0"/>
          <w:numId w:val="4"/>
        </w:numPr>
        <w:spacing w:after="240"/>
        <w:ind w:left="900" w:hanging="540"/>
        <w:jc w:val="both"/>
        <w:rPr>
          <w:color w:val="000000" w:themeColor="text1"/>
          <w:sz w:val="24"/>
          <w:szCs w:val="24"/>
        </w:rPr>
      </w:pPr>
      <w:r>
        <w:rPr>
          <w:color w:val="000000" w:themeColor="text1"/>
          <w:sz w:val="24"/>
          <w:szCs w:val="24"/>
        </w:rPr>
        <w:t>Chang</w:t>
      </w:r>
      <w:r w:rsidR="00586C75">
        <w:rPr>
          <w:color w:val="000000" w:themeColor="text1"/>
          <w:sz w:val="24"/>
          <w:szCs w:val="24"/>
        </w:rPr>
        <w:t>e</w:t>
      </w:r>
      <w:r>
        <w:rPr>
          <w:color w:val="000000" w:themeColor="text1"/>
          <w:sz w:val="24"/>
          <w:szCs w:val="24"/>
        </w:rPr>
        <w:t xml:space="preserve"> the method in which plywood trim is routed to the fuel boiler house to optimize the moisture content of the boiler fuel [received on May 15, 2017];</w:t>
      </w:r>
    </w:p>
    <w:p w14:paraId="7FEF32A1" w14:textId="0F7A278A" w:rsidR="0085792A" w:rsidRDefault="0085792A" w:rsidP="007155E9">
      <w:pPr>
        <w:numPr>
          <w:ilvl w:val="0"/>
          <w:numId w:val="4"/>
        </w:numPr>
        <w:spacing w:after="240"/>
        <w:ind w:left="900" w:hanging="540"/>
        <w:jc w:val="both"/>
        <w:rPr>
          <w:color w:val="000000" w:themeColor="text1"/>
          <w:sz w:val="24"/>
          <w:szCs w:val="24"/>
        </w:rPr>
      </w:pPr>
      <w:r w:rsidRPr="00523BEE">
        <w:rPr>
          <w:color w:val="000000" w:themeColor="text1"/>
          <w:sz w:val="24"/>
          <w:szCs w:val="24"/>
        </w:rPr>
        <w:t xml:space="preserve">Replace </w:t>
      </w:r>
      <w:r w:rsidR="000105B5">
        <w:rPr>
          <w:color w:val="000000" w:themeColor="text1"/>
          <w:sz w:val="24"/>
          <w:szCs w:val="24"/>
        </w:rPr>
        <w:t xml:space="preserve">the </w:t>
      </w:r>
      <w:r w:rsidRPr="00523BEE">
        <w:rPr>
          <w:color w:val="000000" w:themeColor="text1"/>
          <w:sz w:val="24"/>
          <w:szCs w:val="24"/>
        </w:rPr>
        <w:t>dryer control system and add c</w:t>
      </w:r>
      <w:r w:rsidR="002333AC">
        <w:rPr>
          <w:color w:val="000000" w:themeColor="text1"/>
          <w:sz w:val="24"/>
          <w:szCs w:val="24"/>
        </w:rPr>
        <w:t>ooling fans to the dryer system</w:t>
      </w:r>
      <w:r w:rsidRPr="002333AC">
        <w:rPr>
          <w:color w:val="000000" w:themeColor="text1"/>
          <w:sz w:val="24"/>
          <w:szCs w:val="24"/>
        </w:rPr>
        <w:t>.</w:t>
      </w:r>
    </w:p>
    <w:p w14:paraId="77DAFD52" w14:textId="6620F343" w:rsidR="005164C8" w:rsidRDefault="00B01C0E" w:rsidP="007155E9">
      <w:pPr>
        <w:numPr>
          <w:ilvl w:val="0"/>
          <w:numId w:val="4"/>
        </w:numPr>
        <w:spacing w:after="240"/>
        <w:ind w:left="900" w:hanging="540"/>
        <w:jc w:val="both"/>
        <w:rPr>
          <w:color w:val="000000" w:themeColor="text1"/>
          <w:sz w:val="24"/>
          <w:szCs w:val="24"/>
        </w:rPr>
      </w:pPr>
      <w:r>
        <w:rPr>
          <w:color w:val="000000" w:themeColor="text1"/>
          <w:sz w:val="24"/>
          <w:szCs w:val="24"/>
        </w:rPr>
        <w:t xml:space="preserve">Replace 27% of the tubes in the No. 3 Boiler (Emission Point AA-700) and the associated water softener system (used to treat boiler </w:t>
      </w:r>
      <w:r w:rsidR="006E5427">
        <w:rPr>
          <w:color w:val="000000" w:themeColor="text1"/>
          <w:sz w:val="24"/>
          <w:szCs w:val="24"/>
        </w:rPr>
        <w:t>feed water) [received on September 1, 2021];</w:t>
      </w:r>
      <w:r w:rsidR="000105B5">
        <w:rPr>
          <w:color w:val="000000" w:themeColor="text1"/>
          <w:sz w:val="24"/>
          <w:szCs w:val="24"/>
        </w:rPr>
        <w:t xml:space="preserve"> and</w:t>
      </w:r>
    </w:p>
    <w:p w14:paraId="272C8290" w14:textId="7FC7600E" w:rsidR="006E5427" w:rsidRDefault="006E5427" w:rsidP="007155E9">
      <w:pPr>
        <w:numPr>
          <w:ilvl w:val="0"/>
          <w:numId w:val="4"/>
        </w:numPr>
        <w:spacing w:after="240"/>
        <w:ind w:left="900" w:hanging="540"/>
        <w:jc w:val="both"/>
        <w:rPr>
          <w:color w:val="000000" w:themeColor="text1"/>
          <w:sz w:val="24"/>
          <w:szCs w:val="24"/>
        </w:rPr>
      </w:pPr>
      <w:r>
        <w:rPr>
          <w:color w:val="000000" w:themeColor="text1"/>
          <w:sz w:val="24"/>
          <w:szCs w:val="24"/>
        </w:rPr>
        <w:t xml:space="preserve">Replace the existing fly saw and side shift accumulator that are part of the </w:t>
      </w:r>
      <w:proofErr w:type="spellStart"/>
      <w:r>
        <w:rPr>
          <w:color w:val="000000" w:themeColor="text1"/>
          <w:sz w:val="24"/>
          <w:szCs w:val="24"/>
        </w:rPr>
        <w:t>Glueline</w:t>
      </w:r>
      <w:proofErr w:type="spellEnd"/>
      <w:r>
        <w:rPr>
          <w:color w:val="000000" w:themeColor="text1"/>
          <w:sz w:val="24"/>
          <w:szCs w:val="24"/>
        </w:rPr>
        <w:t xml:space="preserve"> Operations </w:t>
      </w:r>
      <w:r w:rsidR="000105B5">
        <w:rPr>
          <w:color w:val="000000" w:themeColor="text1"/>
          <w:sz w:val="24"/>
          <w:szCs w:val="24"/>
        </w:rPr>
        <w:t>(Emission Point AA-314) [received on September 1, 2021]</w:t>
      </w:r>
    </w:p>
    <w:p w14:paraId="031B69FA" w14:textId="11FDA6FE" w:rsidR="007155E9" w:rsidRDefault="007155E9" w:rsidP="007155E9">
      <w:pPr>
        <w:pStyle w:val="ListParagraph"/>
        <w:numPr>
          <w:ilvl w:val="0"/>
          <w:numId w:val="3"/>
        </w:numPr>
        <w:tabs>
          <w:tab w:val="left" w:pos="360"/>
        </w:tabs>
        <w:ind w:left="360"/>
        <w:jc w:val="both"/>
        <w:rPr>
          <w:color w:val="000000" w:themeColor="text1"/>
          <w:sz w:val="24"/>
          <w:szCs w:val="24"/>
        </w:rPr>
      </w:pPr>
      <w:r w:rsidRPr="007155E9">
        <w:rPr>
          <w:i/>
          <w:color w:val="000000" w:themeColor="text1"/>
          <w:sz w:val="24"/>
          <w:szCs w:val="24"/>
          <w:u w:val="single"/>
        </w:rPr>
        <w:t>Administrative Amendment Requests</w:t>
      </w:r>
      <w:r>
        <w:rPr>
          <w:color w:val="000000" w:themeColor="text1"/>
          <w:sz w:val="24"/>
          <w:szCs w:val="24"/>
        </w:rPr>
        <w:t>:</w:t>
      </w:r>
    </w:p>
    <w:p w14:paraId="4AFC223C" w14:textId="6D000935" w:rsidR="007155E9" w:rsidRDefault="007155E9" w:rsidP="007155E9">
      <w:pPr>
        <w:pStyle w:val="ListParagraph"/>
        <w:tabs>
          <w:tab w:val="left" w:pos="360"/>
        </w:tabs>
        <w:spacing w:after="120"/>
        <w:ind w:left="360"/>
        <w:jc w:val="both"/>
        <w:rPr>
          <w:i/>
          <w:color w:val="000000" w:themeColor="text1"/>
          <w:sz w:val="24"/>
          <w:szCs w:val="24"/>
          <w:u w:val="single"/>
        </w:rPr>
      </w:pPr>
    </w:p>
    <w:p w14:paraId="356E2C7E" w14:textId="1EFF292E" w:rsidR="007155E9" w:rsidRDefault="007155E9" w:rsidP="007155E9">
      <w:pPr>
        <w:pStyle w:val="ListParagraph"/>
        <w:tabs>
          <w:tab w:val="left" w:pos="900"/>
        </w:tabs>
        <w:ind w:left="900" w:hanging="540"/>
        <w:jc w:val="both"/>
        <w:rPr>
          <w:color w:val="000000" w:themeColor="text1"/>
          <w:sz w:val="24"/>
          <w:szCs w:val="24"/>
        </w:rPr>
      </w:pPr>
      <w:r>
        <w:rPr>
          <w:color w:val="000000" w:themeColor="text1"/>
          <w:sz w:val="24"/>
          <w:szCs w:val="24"/>
        </w:rPr>
        <w:lastRenderedPageBreak/>
        <w:t>(1)</w:t>
      </w:r>
      <w:r>
        <w:rPr>
          <w:color w:val="000000" w:themeColor="text1"/>
          <w:sz w:val="24"/>
          <w:szCs w:val="24"/>
        </w:rPr>
        <w:tab/>
        <w:t>Repurpose the fuel storage bin previously associated with the No. 1 boiler as a secondary fuel supply source for the No. 3 boiler, which will include the installation of a new fuel chute and two (2) new bark conveyors [received on February 11, 2019].</w:t>
      </w:r>
    </w:p>
    <w:p w14:paraId="3DDB9BD5" w14:textId="2565CFC1" w:rsidR="009E4E8D" w:rsidRDefault="009E4E8D" w:rsidP="007155E9">
      <w:pPr>
        <w:pStyle w:val="ListParagraph"/>
        <w:tabs>
          <w:tab w:val="left" w:pos="900"/>
        </w:tabs>
        <w:ind w:left="900" w:hanging="540"/>
        <w:jc w:val="both"/>
        <w:rPr>
          <w:color w:val="000000" w:themeColor="text1"/>
          <w:sz w:val="24"/>
          <w:szCs w:val="24"/>
        </w:rPr>
      </w:pPr>
    </w:p>
    <w:p w14:paraId="4DDFF009" w14:textId="3ED06F8A" w:rsidR="009E4E8D" w:rsidRDefault="009E4E8D" w:rsidP="009E4E8D">
      <w:pPr>
        <w:pStyle w:val="ListParagraph"/>
        <w:numPr>
          <w:ilvl w:val="0"/>
          <w:numId w:val="3"/>
        </w:numPr>
        <w:tabs>
          <w:tab w:val="left" w:pos="360"/>
        </w:tabs>
        <w:ind w:left="360"/>
        <w:jc w:val="both"/>
        <w:rPr>
          <w:i/>
          <w:color w:val="000000" w:themeColor="text1"/>
          <w:sz w:val="24"/>
          <w:szCs w:val="24"/>
          <w:u w:val="single"/>
        </w:rPr>
      </w:pPr>
      <w:r w:rsidRPr="009E4E8D">
        <w:rPr>
          <w:i/>
          <w:color w:val="000000" w:themeColor="text1"/>
          <w:sz w:val="24"/>
          <w:szCs w:val="24"/>
          <w:u w:val="single"/>
        </w:rPr>
        <w:t>Incorporation of Permit to Construct Air Emissions Equipment</w:t>
      </w:r>
    </w:p>
    <w:p w14:paraId="5D53E4DC" w14:textId="77777777" w:rsidR="009E4E8D" w:rsidRPr="009E4E8D" w:rsidRDefault="009E4E8D" w:rsidP="009E4E8D">
      <w:pPr>
        <w:pStyle w:val="ListParagraph"/>
        <w:tabs>
          <w:tab w:val="left" w:pos="360"/>
        </w:tabs>
        <w:ind w:left="360"/>
        <w:jc w:val="both"/>
        <w:rPr>
          <w:i/>
          <w:color w:val="000000" w:themeColor="text1"/>
          <w:sz w:val="24"/>
          <w:szCs w:val="24"/>
          <w:u w:val="single"/>
        </w:rPr>
      </w:pPr>
    </w:p>
    <w:p w14:paraId="4E6A6669" w14:textId="77777777" w:rsidR="008512FA" w:rsidRDefault="009E4E8D" w:rsidP="009E4E8D">
      <w:pPr>
        <w:tabs>
          <w:tab w:val="left" w:pos="900"/>
        </w:tabs>
        <w:ind w:left="900" w:hanging="540"/>
        <w:jc w:val="both"/>
        <w:rPr>
          <w:color w:val="000000" w:themeColor="text1"/>
          <w:sz w:val="24"/>
          <w:szCs w:val="24"/>
        </w:rPr>
      </w:pPr>
      <w:r>
        <w:rPr>
          <w:color w:val="000000" w:themeColor="text1"/>
          <w:sz w:val="24"/>
          <w:szCs w:val="24"/>
        </w:rPr>
        <w:t>(1)</w:t>
      </w:r>
      <w:r>
        <w:rPr>
          <w:color w:val="000000" w:themeColor="text1"/>
          <w:sz w:val="24"/>
          <w:szCs w:val="24"/>
        </w:rPr>
        <w:tab/>
      </w:r>
      <w:r w:rsidR="00585F6A" w:rsidRPr="00523BEE">
        <w:rPr>
          <w:color w:val="000000" w:themeColor="text1"/>
          <w:sz w:val="24"/>
          <w:szCs w:val="24"/>
        </w:rPr>
        <w:t xml:space="preserve">The facility </w:t>
      </w:r>
      <w:proofErr w:type="gramStart"/>
      <w:r w:rsidR="00585F6A" w:rsidRPr="00523BEE">
        <w:rPr>
          <w:color w:val="000000" w:themeColor="text1"/>
          <w:sz w:val="24"/>
          <w:szCs w:val="24"/>
        </w:rPr>
        <w:t>was issued</w:t>
      </w:r>
      <w:proofErr w:type="gramEnd"/>
      <w:r w:rsidR="00585F6A" w:rsidRPr="00523BEE">
        <w:rPr>
          <w:color w:val="000000" w:themeColor="text1"/>
          <w:sz w:val="24"/>
          <w:szCs w:val="24"/>
        </w:rPr>
        <w:t xml:space="preserve"> a </w:t>
      </w:r>
      <w:r w:rsidR="006C32F7" w:rsidRPr="00523BEE">
        <w:rPr>
          <w:color w:val="000000" w:themeColor="text1"/>
          <w:sz w:val="24"/>
          <w:szCs w:val="24"/>
        </w:rPr>
        <w:t>Perm</w:t>
      </w:r>
      <w:r>
        <w:rPr>
          <w:color w:val="000000" w:themeColor="text1"/>
          <w:sz w:val="24"/>
          <w:szCs w:val="24"/>
        </w:rPr>
        <w:t>it to Construct on July 8, 2016</w:t>
      </w:r>
      <w:r w:rsidR="006C32F7" w:rsidRPr="00523BEE">
        <w:rPr>
          <w:color w:val="000000" w:themeColor="text1"/>
          <w:sz w:val="24"/>
          <w:szCs w:val="24"/>
        </w:rPr>
        <w:t xml:space="preserve"> to construct and operate a natural gas-fired Combined Heat and Power </w:t>
      </w:r>
      <w:r w:rsidR="00B47C54" w:rsidRPr="00523BEE">
        <w:rPr>
          <w:color w:val="000000" w:themeColor="text1"/>
          <w:sz w:val="24"/>
          <w:szCs w:val="24"/>
        </w:rPr>
        <w:t>(CHP) System</w:t>
      </w:r>
      <w:r>
        <w:rPr>
          <w:color w:val="000000" w:themeColor="text1"/>
          <w:sz w:val="24"/>
          <w:szCs w:val="24"/>
        </w:rPr>
        <w:t>,</w:t>
      </w:r>
      <w:r w:rsidR="006C32F7" w:rsidRPr="00523BEE">
        <w:rPr>
          <w:color w:val="000000" w:themeColor="text1"/>
          <w:sz w:val="24"/>
          <w:szCs w:val="24"/>
        </w:rPr>
        <w:t xml:space="preserve"> which consists of a combustion turbine and heat recovery steam generating </w:t>
      </w:r>
      <w:r>
        <w:rPr>
          <w:color w:val="000000" w:themeColor="text1"/>
          <w:sz w:val="24"/>
          <w:szCs w:val="24"/>
        </w:rPr>
        <w:t xml:space="preserve">(HRSG) </w:t>
      </w:r>
      <w:r w:rsidR="006C32F7" w:rsidRPr="00523BEE">
        <w:rPr>
          <w:color w:val="000000" w:themeColor="text1"/>
          <w:sz w:val="24"/>
          <w:szCs w:val="24"/>
        </w:rPr>
        <w:t xml:space="preserve">unit.  Upon construction, the facility shut down and removed </w:t>
      </w:r>
      <w:r>
        <w:rPr>
          <w:color w:val="000000" w:themeColor="text1"/>
          <w:sz w:val="24"/>
          <w:szCs w:val="24"/>
        </w:rPr>
        <w:t>the No. 1 Boiler</w:t>
      </w:r>
      <w:r w:rsidR="006C32F7" w:rsidRPr="00523BEE">
        <w:rPr>
          <w:color w:val="000000" w:themeColor="text1"/>
          <w:sz w:val="24"/>
          <w:szCs w:val="24"/>
        </w:rPr>
        <w:t xml:space="preserve"> (Emission Point AA-500).</w:t>
      </w:r>
      <w:r w:rsidR="00B47C54" w:rsidRPr="00523BEE">
        <w:rPr>
          <w:color w:val="000000" w:themeColor="text1"/>
          <w:sz w:val="24"/>
          <w:szCs w:val="24"/>
        </w:rPr>
        <w:t xml:space="preserve">  The CHP </w:t>
      </w:r>
      <w:r w:rsidR="007B1B26" w:rsidRPr="00523BEE">
        <w:rPr>
          <w:color w:val="000000" w:themeColor="text1"/>
          <w:sz w:val="24"/>
          <w:szCs w:val="24"/>
        </w:rPr>
        <w:t xml:space="preserve">System </w:t>
      </w:r>
      <w:r w:rsidR="00B47C54" w:rsidRPr="00523BEE">
        <w:rPr>
          <w:color w:val="000000" w:themeColor="text1"/>
          <w:sz w:val="24"/>
          <w:szCs w:val="24"/>
        </w:rPr>
        <w:t>b</w:t>
      </w:r>
      <w:r>
        <w:rPr>
          <w:color w:val="000000" w:themeColor="text1"/>
          <w:sz w:val="24"/>
          <w:szCs w:val="24"/>
        </w:rPr>
        <w:t>egan operation</w:t>
      </w:r>
      <w:r w:rsidR="00B47C54" w:rsidRPr="00523BEE">
        <w:rPr>
          <w:color w:val="000000" w:themeColor="text1"/>
          <w:sz w:val="24"/>
          <w:szCs w:val="24"/>
        </w:rPr>
        <w:t xml:space="preserve"> March 9, 2018, and the facility submitted an application to modify the </w:t>
      </w:r>
      <w:r>
        <w:rPr>
          <w:color w:val="000000" w:themeColor="text1"/>
          <w:sz w:val="24"/>
          <w:szCs w:val="24"/>
        </w:rPr>
        <w:t>TVOP</w:t>
      </w:r>
      <w:r w:rsidR="00B47C54" w:rsidRPr="00523BEE">
        <w:rPr>
          <w:color w:val="000000" w:themeColor="text1"/>
          <w:sz w:val="24"/>
          <w:szCs w:val="24"/>
        </w:rPr>
        <w:t xml:space="preserve"> on March 6, 2019</w:t>
      </w:r>
      <w:r>
        <w:rPr>
          <w:color w:val="000000" w:themeColor="text1"/>
          <w:sz w:val="24"/>
          <w:szCs w:val="24"/>
        </w:rPr>
        <w:t xml:space="preserve"> (in order to incorporate the complete construction project)</w:t>
      </w:r>
      <w:r w:rsidR="00B47C54" w:rsidRPr="00523BEE">
        <w:rPr>
          <w:color w:val="000000" w:themeColor="text1"/>
          <w:sz w:val="24"/>
          <w:szCs w:val="24"/>
        </w:rPr>
        <w:t>.</w:t>
      </w:r>
      <w:r w:rsidR="00EB4AC7" w:rsidRPr="00523BEE">
        <w:rPr>
          <w:color w:val="000000" w:themeColor="text1"/>
          <w:sz w:val="24"/>
          <w:szCs w:val="24"/>
        </w:rPr>
        <w:t xml:space="preserve">  </w:t>
      </w:r>
    </w:p>
    <w:p w14:paraId="765214A8" w14:textId="77777777" w:rsidR="008512FA" w:rsidRDefault="008512FA" w:rsidP="009E4E8D">
      <w:pPr>
        <w:tabs>
          <w:tab w:val="left" w:pos="900"/>
        </w:tabs>
        <w:ind w:left="900" w:hanging="540"/>
        <w:jc w:val="both"/>
        <w:rPr>
          <w:color w:val="000000" w:themeColor="text1"/>
          <w:sz w:val="24"/>
          <w:szCs w:val="24"/>
        </w:rPr>
      </w:pPr>
    </w:p>
    <w:p w14:paraId="3B6FA9B1" w14:textId="47EE696E" w:rsidR="00585F6A" w:rsidRDefault="008512FA" w:rsidP="009E4E8D">
      <w:pPr>
        <w:tabs>
          <w:tab w:val="left" w:pos="900"/>
        </w:tabs>
        <w:ind w:left="900" w:hanging="540"/>
        <w:jc w:val="both"/>
        <w:rPr>
          <w:bCs/>
          <w:color w:val="000000" w:themeColor="text1"/>
          <w:sz w:val="24"/>
          <w:szCs w:val="24"/>
        </w:rPr>
      </w:pPr>
      <w:r>
        <w:rPr>
          <w:color w:val="000000" w:themeColor="text1"/>
          <w:sz w:val="24"/>
          <w:szCs w:val="24"/>
        </w:rPr>
        <w:tab/>
      </w:r>
      <w:r w:rsidR="009E4E8D">
        <w:rPr>
          <w:color w:val="000000" w:themeColor="text1"/>
          <w:sz w:val="24"/>
          <w:szCs w:val="24"/>
        </w:rPr>
        <w:t>As a result, t</w:t>
      </w:r>
      <w:r w:rsidR="00EB4AC7" w:rsidRPr="00523BEE">
        <w:rPr>
          <w:color w:val="000000" w:themeColor="text1"/>
          <w:sz w:val="24"/>
          <w:szCs w:val="24"/>
        </w:rPr>
        <w:t xml:space="preserve">he </w:t>
      </w:r>
      <w:r w:rsidR="009E4E8D">
        <w:rPr>
          <w:color w:val="000000" w:themeColor="text1"/>
          <w:sz w:val="24"/>
          <w:szCs w:val="24"/>
        </w:rPr>
        <w:t>TVOP</w:t>
      </w:r>
      <w:r w:rsidR="00EB4AC7" w:rsidRPr="00523BEE">
        <w:rPr>
          <w:color w:val="000000" w:themeColor="text1"/>
          <w:sz w:val="24"/>
          <w:szCs w:val="24"/>
        </w:rPr>
        <w:t xml:space="preserve"> </w:t>
      </w:r>
      <w:r w:rsidR="009E4E8D">
        <w:rPr>
          <w:color w:val="000000" w:themeColor="text1"/>
          <w:sz w:val="24"/>
          <w:szCs w:val="24"/>
        </w:rPr>
        <w:t>no longer mentions the No. 1 Boiler (Emission Point AA-500) and now includes</w:t>
      </w:r>
      <w:r w:rsidR="00EB4AC7" w:rsidRPr="00523BEE">
        <w:rPr>
          <w:color w:val="000000" w:themeColor="text1"/>
          <w:sz w:val="24"/>
          <w:szCs w:val="24"/>
        </w:rPr>
        <w:t xml:space="preserve"> the CHP system (Emission Point AA-900)</w:t>
      </w:r>
      <w:r w:rsidR="006170CD" w:rsidRPr="00523BEE">
        <w:rPr>
          <w:color w:val="000000" w:themeColor="text1"/>
          <w:sz w:val="24"/>
          <w:szCs w:val="24"/>
        </w:rPr>
        <w:t>.</w:t>
      </w:r>
      <w:r w:rsidR="009E4E8D">
        <w:rPr>
          <w:color w:val="000000" w:themeColor="text1"/>
          <w:sz w:val="24"/>
          <w:szCs w:val="24"/>
        </w:rPr>
        <w:t xml:space="preserve">  With the inclusion of the CHP system, applicable requirements found in 40 CFR Part </w:t>
      </w:r>
      <w:r>
        <w:rPr>
          <w:color w:val="000000" w:themeColor="text1"/>
          <w:sz w:val="24"/>
          <w:szCs w:val="24"/>
        </w:rPr>
        <w:t xml:space="preserve">60, Subpart KKKK – </w:t>
      </w:r>
      <w:r w:rsidRPr="008512FA">
        <w:rPr>
          <w:bCs/>
          <w:color w:val="000000" w:themeColor="text1"/>
          <w:sz w:val="24"/>
          <w:szCs w:val="24"/>
        </w:rPr>
        <w:t>Standards of Performance for Stationary Combustion Turbines</w:t>
      </w:r>
      <w:r w:rsidR="00821AFF">
        <w:rPr>
          <w:bCs/>
          <w:color w:val="000000" w:themeColor="text1"/>
          <w:sz w:val="24"/>
          <w:szCs w:val="24"/>
        </w:rPr>
        <w:t xml:space="preserve"> </w:t>
      </w:r>
      <w:r w:rsidR="00821AFF" w:rsidRPr="00821AFF">
        <w:rPr>
          <w:bCs/>
          <w:color w:val="000000" w:themeColor="text1"/>
          <w:sz w:val="24"/>
          <w:szCs w:val="24"/>
        </w:rPr>
        <w:t>40 CFR Part 63, Subpart YYYY – National Emission Standards for Hazardous Air Pollutants (NESHAP) for Stationary Combustion Turbines</w:t>
      </w:r>
      <w:r>
        <w:rPr>
          <w:bCs/>
          <w:color w:val="000000" w:themeColor="text1"/>
          <w:sz w:val="24"/>
          <w:szCs w:val="24"/>
        </w:rPr>
        <w:t>.</w:t>
      </w:r>
    </w:p>
    <w:p w14:paraId="5E675D6C" w14:textId="14818D0A" w:rsidR="008512FA" w:rsidRDefault="008512FA" w:rsidP="009E4E8D">
      <w:pPr>
        <w:tabs>
          <w:tab w:val="left" w:pos="900"/>
        </w:tabs>
        <w:ind w:left="900" w:hanging="540"/>
        <w:jc w:val="both"/>
        <w:rPr>
          <w:bCs/>
          <w:color w:val="000000" w:themeColor="text1"/>
          <w:sz w:val="24"/>
          <w:szCs w:val="24"/>
        </w:rPr>
      </w:pPr>
    </w:p>
    <w:p w14:paraId="45CDC8D0" w14:textId="67A92440" w:rsidR="006C32F7" w:rsidRDefault="008512FA" w:rsidP="008512FA">
      <w:pPr>
        <w:tabs>
          <w:tab w:val="left" w:pos="900"/>
        </w:tabs>
        <w:ind w:left="900" w:hanging="540"/>
        <w:jc w:val="both"/>
        <w:rPr>
          <w:color w:val="000000" w:themeColor="text1"/>
          <w:sz w:val="24"/>
          <w:szCs w:val="24"/>
        </w:rPr>
      </w:pPr>
      <w:r>
        <w:rPr>
          <w:bCs/>
          <w:color w:val="000000" w:themeColor="text1"/>
          <w:sz w:val="24"/>
          <w:szCs w:val="24"/>
        </w:rPr>
        <w:t>(2)</w:t>
      </w:r>
      <w:r>
        <w:rPr>
          <w:bCs/>
          <w:color w:val="000000" w:themeColor="text1"/>
          <w:sz w:val="24"/>
          <w:szCs w:val="24"/>
        </w:rPr>
        <w:tab/>
      </w:r>
      <w:r w:rsidR="006C32F7" w:rsidRPr="00523BEE">
        <w:rPr>
          <w:color w:val="000000" w:themeColor="text1"/>
          <w:sz w:val="24"/>
          <w:szCs w:val="24"/>
        </w:rPr>
        <w:t>The facility was issued a Permit to Construct on April 22, 2019</w:t>
      </w:r>
      <w:r>
        <w:rPr>
          <w:color w:val="000000" w:themeColor="text1"/>
          <w:sz w:val="24"/>
          <w:szCs w:val="24"/>
        </w:rPr>
        <w:t xml:space="preserve"> to</w:t>
      </w:r>
      <w:r w:rsidR="006C32F7" w:rsidRPr="00523BEE">
        <w:rPr>
          <w:color w:val="000000" w:themeColor="text1"/>
          <w:sz w:val="24"/>
          <w:szCs w:val="24"/>
        </w:rPr>
        <w:t xml:space="preserve"> replace the </w:t>
      </w:r>
      <w:r>
        <w:rPr>
          <w:color w:val="000000" w:themeColor="text1"/>
          <w:sz w:val="24"/>
          <w:szCs w:val="24"/>
        </w:rPr>
        <w:t xml:space="preserve">No. </w:t>
      </w:r>
      <w:r w:rsidR="006C32F7" w:rsidRPr="00523BEE">
        <w:rPr>
          <w:color w:val="000000" w:themeColor="text1"/>
          <w:sz w:val="24"/>
          <w:szCs w:val="24"/>
        </w:rPr>
        <w:t xml:space="preserve">1 Veneer Dryer (Emission Point AA-404), replace the </w:t>
      </w:r>
      <w:r>
        <w:rPr>
          <w:color w:val="000000" w:themeColor="text1"/>
          <w:sz w:val="24"/>
          <w:szCs w:val="24"/>
        </w:rPr>
        <w:t xml:space="preserve">four (4) existing 36-opening </w:t>
      </w:r>
      <w:r w:rsidR="006C32F7" w:rsidRPr="00523BEE">
        <w:rPr>
          <w:color w:val="000000" w:themeColor="text1"/>
          <w:sz w:val="24"/>
          <w:szCs w:val="24"/>
        </w:rPr>
        <w:t>plywood presses (Emission Point AA-315)</w:t>
      </w:r>
      <w:r>
        <w:rPr>
          <w:color w:val="000000" w:themeColor="text1"/>
          <w:sz w:val="24"/>
          <w:szCs w:val="24"/>
        </w:rPr>
        <w:t xml:space="preserve"> with three (3) new 40-opening presses</w:t>
      </w:r>
      <w:r w:rsidR="006C32F7" w:rsidRPr="00523BEE">
        <w:rPr>
          <w:color w:val="000000" w:themeColor="text1"/>
          <w:sz w:val="24"/>
          <w:szCs w:val="24"/>
        </w:rPr>
        <w:t xml:space="preserve">, </w:t>
      </w:r>
      <w:r w:rsidR="00B47C54" w:rsidRPr="00523BEE">
        <w:rPr>
          <w:color w:val="000000" w:themeColor="text1"/>
          <w:sz w:val="24"/>
          <w:szCs w:val="24"/>
        </w:rPr>
        <w:t xml:space="preserve">and </w:t>
      </w:r>
      <w:r>
        <w:rPr>
          <w:color w:val="000000" w:themeColor="text1"/>
          <w:sz w:val="24"/>
          <w:szCs w:val="24"/>
        </w:rPr>
        <w:t>add</w:t>
      </w:r>
      <w:r w:rsidR="006C32F7" w:rsidRPr="00523BEE">
        <w:rPr>
          <w:color w:val="000000" w:themeColor="text1"/>
          <w:sz w:val="24"/>
          <w:szCs w:val="24"/>
        </w:rPr>
        <w:t xml:space="preserve"> a manual glue spreader to the existing </w:t>
      </w:r>
      <w:proofErr w:type="spellStart"/>
      <w:r w:rsidR="006C32F7" w:rsidRPr="00523BEE">
        <w:rPr>
          <w:color w:val="000000" w:themeColor="text1"/>
          <w:sz w:val="24"/>
          <w:szCs w:val="24"/>
        </w:rPr>
        <w:t>Glueline</w:t>
      </w:r>
      <w:proofErr w:type="spellEnd"/>
      <w:r w:rsidR="006C32F7" w:rsidRPr="00523BEE">
        <w:rPr>
          <w:color w:val="000000" w:themeColor="text1"/>
          <w:sz w:val="24"/>
          <w:szCs w:val="24"/>
        </w:rPr>
        <w:t xml:space="preserve"> Operation (Emission Point AA-314)</w:t>
      </w:r>
      <w:r w:rsidR="00B47C54" w:rsidRPr="00523BEE">
        <w:rPr>
          <w:color w:val="000000" w:themeColor="text1"/>
          <w:sz w:val="24"/>
          <w:szCs w:val="24"/>
        </w:rPr>
        <w:t>.</w:t>
      </w:r>
      <w:r w:rsidR="007B1B26" w:rsidRPr="00523BEE">
        <w:rPr>
          <w:color w:val="000000" w:themeColor="text1"/>
          <w:sz w:val="24"/>
          <w:szCs w:val="24"/>
        </w:rPr>
        <w:t xml:space="preserve">  The n</w:t>
      </w:r>
      <w:r>
        <w:rPr>
          <w:color w:val="000000" w:themeColor="text1"/>
          <w:sz w:val="24"/>
          <w:szCs w:val="24"/>
        </w:rPr>
        <w:t xml:space="preserve">ew </w:t>
      </w:r>
      <w:r w:rsidR="007274E7">
        <w:rPr>
          <w:color w:val="000000" w:themeColor="text1"/>
          <w:sz w:val="24"/>
          <w:szCs w:val="24"/>
        </w:rPr>
        <w:t>veneer dryer</w:t>
      </w:r>
      <w:r>
        <w:rPr>
          <w:color w:val="000000" w:themeColor="text1"/>
          <w:sz w:val="24"/>
          <w:szCs w:val="24"/>
        </w:rPr>
        <w:t xml:space="preserve"> began operation on</w:t>
      </w:r>
      <w:r w:rsidR="007B1B26" w:rsidRPr="00523BEE">
        <w:rPr>
          <w:color w:val="000000" w:themeColor="text1"/>
          <w:sz w:val="24"/>
          <w:szCs w:val="24"/>
        </w:rPr>
        <w:t xml:space="preserve"> October 18, 20</w:t>
      </w:r>
      <w:r>
        <w:rPr>
          <w:color w:val="000000" w:themeColor="text1"/>
          <w:sz w:val="24"/>
          <w:szCs w:val="24"/>
        </w:rPr>
        <w:t xml:space="preserve">19, and the facility submitted </w:t>
      </w:r>
      <w:r w:rsidR="007B1B26" w:rsidRPr="00523BEE">
        <w:rPr>
          <w:color w:val="000000" w:themeColor="text1"/>
          <w:sz w:val="24"/>
          <w:szCs w:val="24"/>
        </w:rPr>
        <w:t xml:space="preserve">an application to modify the </w:t>
      </w:r>
      <w:r>
        <w:rPr>
          <w:color w:val="000000" w:themeColor="text1"/>
          <w:sz w:val="24"/>
          <w:szCs w:val="24"/>
        </w:rPr>
        <w:t>TVOP</w:t>
      </w:r>
      <w:r w:rsidR="007B1B26" w:rsidRPr="00523BEE">
        <w:rPr>
          <w:color w:val="000000" w:themeColor="text1"/>
          <w:sz w:val="24"/>
          <w:szCs w:val="24"/>
        </w:rPr>
        <w:t xml:space="preserve"> on October 14, 2020</w:t>
      </w:r>
      <w:r>
        <w:rPr>
          <w:color w:val="000000" w:themeColor="text1"/>
          <w:sz w:val="24"/>
          <w:szCs w:val="24"/>
        </w:rPr>
        <w:t xml:space="preserve"> (in order to incorporate the new veneer dryer)</w:t>
      </w:r>
      <w:r w:rsidR="007B1B26" w:rsidRPr="00523BEE">
        <w:rPr>
          <w:color w:val="000000" w:themeColor="text1"/>
          <w:sz w:val="24"/>
          <w:szCs w:val="24"/>
        </w:rPr>
        <w:t>.</w:t>
      </w:r>
    </w:p>
    <w:p w14:paraId="49169B7B" w14:textId="20E28B21" w:rsidR="008512FA" w:rsidRDefault="008512FA" w:rsidP="008512FA">
      <w:pPr>
        <w:tabs>
          <w:tab w:val="left" w:pos="900"/>
        </w:tabs>
        <w:ind w:left="900" w:hanging="540"/>
        <w:jc w:val="both"/>
        <w:rPr>
          <w:color w:val="000000" w:themeColor="text1"/>
          <w:sz w:val="24"/>
          <w:szCs w:val="24"/>
        </w:rPr>
      </w:pPr>
    </w:p>
    <w:p w14:paraId="029DA16B" w14:textId="5250C548" w:rsidR="007B1B26" w:rsidRDefault="008512FA" w:rsidP="007274E7">
      <w:pPr>
        <w:tabs>
          <w:tab w:val="left" w:pos="900"/>
        </w:tabs>
        <w:ind w:left="900" w:hanging="540"/>
        <w:jc w:val="both"/>
        <w:rPr>
          <w:bCs/>
          <w:color w:val="000000" w:themeColor="text1"/>
          <w:sz w:val="24"/>
          <w:szCs w:val="24"/>
        </w:rPr>
      </w:pPr>
      <w:r>
        <w:rPr>
          <w:color w:val="000000" w:themeColor="text1"/>
          <w:sz w:val="24"/>
          <w:szCs w:val="24"/>
        </w:rPr>
        <w:tab/>
      </w:r>
      <w:r w:rsidR="007274E7" w:rsidRPr="007274E7">
        <w:rPr>
          <w:bCs/>
          <w:color w:val="000000" w:themeColor="text1"/>
          <w:sz w:val="24"/>
          <w:szCs w:val="24"/>
        </w:rPr>
        <w:t xml:space="preserve">As of the issuance of this permit, the facility has not completed construction of </w:t>
      </w:r>
      <w:r w:rsidR="00EE1748">
        <w:rPr>
          <w:bCs/>
          <w:color w:val="000000" w:themeColor="text1"/>
          <w:sz w:val="24"/>
          <w:szCs w:val="24"/>
        </w:rPr>
        <w:t>a</w:t>
      </w:r>
      <w:r w:rsidR="007274E7" w:rsidRPr="007274E7">
        <w:rPr>
          <w:bCs/>
          <w:color w:val="000000" w:themeColor="text1"/>
          <w:sz w:val="24"/>
          <w:szCs w:val="24"/>
        </w:rPr>
        <w:t xml:space="preserve">n addition of the new manual spreader or the replacement of the presses.  Construction for the other portion of the project (i.e. the replacement of the No. 1 Veneer Dryer) was completed on October 14, 2019.  </w:t>
      </w:r>
      <w:r w:rsidR="000105B5" w:rsidRPr="000105B5">
        <w:rPr>
          <w:bCs/>
          <w:color w:val="000000" w:themeColor="text1"/>
          <w:sz w:val="24"/>
          <w:szCs w:val="24"/>
        </w:rPr>
        <w:t>However, the PTC is still active, as additional construction activities are still on-going.</w:t>
      </w:r>
    </w:p>
    <w:p w14:paraId="6F0F16E0" w14:textId="77777777" w:rsidR="007274E7" w:rsidRDefault="007274E7" w:rsidP="007274E7">
      <w:pPr>
        <w:tabs>
          <w:tab w:val="left" w:pos="900"/>
        </w:tabs>
        <w:ind w:left="900" w:hanging="540"/>
        <w:jc w:val="both"/>
        <w:rPr>
          <w:bCs/>
          <w:color w:val="000000" w:themeColor="text1"/>
          <w:sz w:val="24"/>
          <w:szCs w:val="24"/>
        </w:rPr>
      </w:pPr>
    </w:p>
    <w:p w14:paraId="0BB7C74B" w14:textId="5A45F221" w:rsidR="007274E7" w:rsidRPr="007274E7" w:rsidRDefault="007274E7" w:rsidP="007274E7">
      <w:pPr>
        <w:pStyle w:val="ListParagraph"/>
        <w:numPr>
          <w:ilvl w:val="0"/>
          <w:numId w:val="3"/>
        </w:numPr>
        <w:tabs>
          <w:tab w:val="left" w:pos="360"/>
        </w:tabs>
        <w:ind w:left="360"/>
        <w:jc w:val="both"/>
        <w:rPr>
          <w:bCs/>
          <w:color w:val="000000" w:themeColor="text1"/>
          <w:sz w:val="24"/>
          <w:szCs w:val="24"/>
        </w:rPr>
      </w:pPr>
      <w:r w:rsidRPr="007274E7">
        <w:rPr>
          <w:bCs/>
          <w:i/>
          <w:color w:val="000000" w:themeColor="text1"/>
          <w:sz w:val="24"/>
          <w:szCs w:val="24"/>
          <w:u w:val="single"/>
        </w:rPr>
        <w:t>Changes Requested by the Facility</w:t>
      </w:r>
      <w:r w:rsidRPr="007274E7">
        <w:rPr>
          <w:bCs/>
          <w:color w:val="000000" w:themeColor="text1"/>
          <w:sz w:val="24"/>
          <w:szCs w:val="24"/>
        </w:rPr>
        <w:t>:</w:t>
      </w:r>
    </w:p>
    <w:p w14:paraId="4866B8E6" w14:textId="77777777" w:rsidR="007274E7" w:rsidRPr="00523BEE" w:rsidRDefault="007274E7" w:rsidP="007274E7">
      <w:pPr>
        <w:tabs>
          <w:tab w:val="left" w:pos="900"/>
        </w:tabs>
        <w:ind w:left="900" w:hanging="540"/>
        <w:jc w:val="both"/>
        <w:rPr>
          <w:color w:val="000000" w:themeColor="text1"/>
          <w:sz w:val="24"/>
          <w:szCs w:val="24"/>
        </w:rPr>
      </w:pPr>
    </w:p>
    <w:p w14:paraId="74462EC7" w14:textId="14E2FDCD" w:rsidR="007B1B26" w:rsidRDefault="007274E7" w:rsidP="007274E7">
      <w:pPr>
        <w:tabs>
          <w:tab w:val="left" w:pos="900"/>
        </w:tabs>
        <w:ind w:left="900" w:hanging="540"/>
        <w:jc w:val="both"/>
        <w:rPr>
          <w:color w:val="000000" w:themeColor="text1"/>
          <w:sz w:val="24"/>
          <w:szCs w:val="24"/>
        </w:rPr>
      </w:pPr>
      <w:r>
        <w:rPr>
          <w:color w:val="000000" w:themeColor="text1"/>
          <w:sz w:val="24"/>
          <w:szCs w:val="24"/>
        </w:rPr>
        <w:t>(1)</w:t>
      </w:r>
      <w:r>
        <w:rPr>
          <w:color w:val="000000" w:themeColor="text1"/>
          <w:sz w:val="24"/>
          <w:szCs w:val="24"/>
        </w:rPr>
        <w:tab/>
      </w:r>
      <w:r w:rsidR="007B1B26" w:rsidRPr="00523BEE">
        <w:rPr>
          <w:color w:val="000000" w:themeColor="text1"/>
          <w:sz w:val="24"/>
          <w:szCs w:val="24"/>
        </w:rPr>
        <w:t>The facility requested the on-spec</w:t>
      </w:r>
      <w:r>
        <w:rPr>
          <w:color w:val="000000" w:themeColor="text1"/>
          <w:sz w:val="24"/>
          <w:szCs w:val="24"/>
        </w:rPr>
        <w:t>.</w:t>
      </w:r>
      <w:r w:rsidR="007B1B26" w:rsidRPr="00523BEE">
        <w:rPr>
          <w:color w:val="000000" w:themeColor="text1"/>
          <w:sz w:val="24"/>
          <w:szCs w:val="24"/>
        </w:rPr>
        <w:t xml:space="preserve"> used oil be removed as a potential fuel for </w:t>
      </w:r>
      <w:r w:rsidR="000B7EA5">
        <w:rPr>
          <w:color w:val="000000" w:themeColor="text1"/>
          <w:sz w:val="24"/>
          <w:szCs w:val="24"/>
        </w:rPr>
        <w:t xml:space="preserve">the No. 3 </w:t>
      </w:r>
      <w:r w:rsidR="007B1B26" w:rsidRPr="00523BEE">
        <w:rPr>
          <w:color w:val="000000" w:themeColor="text1"/>
          <w:sz w:val="24"/>
          <w:szCs w:val="24"/>
        </w:rPr>
        <w:t xml:space="preserve">Boiler </w:t>
      </w:r>
      <w:r w:rsidR="000B7EA5">
        <w:rPr>
          <w:color w:val="000000" w:themeColor="text1"/>
          <w:sz w:val="24"/>
          <w:szCs w:val="24"/>
        </w:rPr>
        <w:t>because</w:t>
      </w:r>
      <w:r w:rsidR="007B1B26" w:rsidRPr="00523BEE">
        <w:rPr>
          <w:color w:val="000000" w:themeColor="text1"/>
          <w:sz w:val="24"/>
          <w:szCs w:val="24"/>
        </w:rPr>
        <w:t xml:space="preserve"> it is no longer utilized.  All references to on-spec</w:t>
      </w:r>
      <w:r>
        <w:rPr>
          <w:color w:val="000000" w:themeColor="text1"/>
          <w:sz w:val="24"/>
          <w:szCs w:val="24"/>
        </w:rPr>
        <w:t>.</w:t>
      </w:r>
      <w:r w:rsidR="007B1B26" w:rsidRPr="00523BEE">
        <w:rPr>
          <w:color w:val="000000" w:themeColor="text1"/>
          <w:sz w:val="24"/>
          <w:szCs w:val="24"/>
        </w:rPr>
        <w:t xml:space="preserve"> used oil </w:t>
      </w:r>
      <w:r>
        <w:rPr>
          <w:color w:val="000000" w:themeColor="text1"/>
          <w:sz w:val="24"/>
          <w:szCs w:val="24"/>
        </w:rPr>
        <w:t>has</w:t>
      </w:r>
      <w:r w:rsidR="007B1B26" w:rsidRPr="00523BEE">
        <w:rPr>
          <w:color w:val="000000" w:themeColor="text1"/>
          <w:sz w:val="24"/>
          <w:szCs w:val="24"/>
        </w:rPr>
        <w:t xml:space="preserve"> been removed from the </w:t>
      </w:r>
      <w:r>
        <w:rPr>
          <w:color w:val="000000" w:themeColor="text1"/>
          <w:sz w:val="24"/>
          <w:szCs w:val="24"/>
        </w:rPr>
        <w:t>TVOP</w:t>
      </w:r>
      <w:r w:rsidR="007B1B26" w:rsidRPr="00523BEE">
        <w:rPr>
          <w:color w:val="000000" w:themeColor="text1"/>
          <w:sz w:val="24"/>
          <w:szCs w:val="24"/>
        </w:rPr>
        <w:t>.</w:t>
      </w:r>
    </w:p>
    <w:p w14:paraId="0251BB43" w14:textId="77777777" w:rsidR="007274E7" w:rsidRPr="00523BEE" w:rsidRDefault="007274E7" w:rsidP="007274E7">
      <w:pPr>
        <w:tabs>
          <w:tab w:val="left" w:pos="900"/>
        </w:tabs>
        <w:ind w:left="900" w:hanging="540"/>
        <w:jc w:val="both"/>
        <w:rPr>
          <w:color w:val="000000" w:themeColor="text1"/>
          <w:sz w:val="24"/>
          <w:szCs w:val="24"/>
        </w:rPr>
      </w:pPr>
    </w:p>
    <w:p w14:paraId="437D8F3E" w14:textId="0937234F" w:rsidR="007B1B26" w:rsidRDefault="007274E7" w:rsidP="007274E7">
      <w:pPr>
        <w:tabs>
          <w:tab w:val="left" w:pos="900"/>
        </w:tabs>
        <w:ind w:left="900" w:hanging="540"/>
        <w:jc w:val="both"/>
        <w:rPr>
          <w:color w:val="000000" w:themeColor="text1"/>
          <w:sz w:val="24"/>
          <w:szCs w:val="24"/>
        </w:rPr>
      </w:pPr>
      <w:r>
        <w:rPr>
          <w:color w:val="000000" w:themeColor="text1"/>
          <w:sz w:val="24"/>
          <w:szCs w:val="24"/>
        </w:rPr>
        <w:t>(2)</w:t>
      </w:r>
      <w:r>
        <w:rPr>
          <w:color w:val="000000" w:themeColor="text1"/>
          <w:sz w:val="24"/>
          <w:szCs w:val="24"/>
        </w:rPr>
        <w:tab/>
      </w:r>
      <w:r w:rsidR="007B1B26" w:rsidRPr="00523BEE">
        <w:rPr>
          <w:color w:val="000000" w:themeColor="text1"/>
          <w:sz w:val="24"/>
          <w:szCs w:val="24"/>
        </w:rPr>
        <w:t xml:space="preserve">The facility requested that the </w:t>
      </w:r>
      <w:r w:rsidR="000B7EA5">
        <w:rPr>
          <w:color w:val="000000" w:themeColor="text1"/>
          <w:sz w:val="24"/>
          <w:szCs w:val="24"/>
        </w:rPr>
        <w:t>“</w:t>
      </w:r>
      <w:r w:rsidR="007B1B26" w:rsidRPr="00523BEE">
        <w:rPr>
          <w:color w:val="000000" w:themeColor="text1"/>
          <w:sz w:val="24"/>
          <w:szCs w:val="24"/>
        </w:rPr>
        <w:t>Main Manufacturing Building</w:t>
      </w:r>
      <w:r w:rsidR="000B7EA5">
        <w:rPr>
          <w:color w:val="000000" w:themeColor="text1"/>
          <w:sz w:val="24"/>
          <w:szCs w:val="24"/>
        </w:rPr>
        <w:t>”</w:t>
      </w:r>
      <w:r w:rsidR="007B1B26" w:rsidRPr="00523BEE">
        <w:rPr>
          <w:color w:val="000000" w:themeColor="text1"/>
          <w:sz w:val="24"/>
          <w:szCs w:val="24"/>
        </w:rPr>
        <w:t xml:space="preserve"> (Emission Point AA-800) </w:t>
      </w:r>
      <w:proofErr w:type="gramStart"/>
      <w:r w:rsidR="00E94D7A">
        <w:rPr>
          <w:color w:val="000000" w:themeColor="text1"/>
          <w:sz w:val="24"/>
          <w:szCs w:val="24"/>
        </w:rPr>
        <w:t>be removed</w:t>
      </w:r>
      <w:proofErr w:type="gramEnd"/>
      <w:r w:rsidR="008E717F">
        <w:rPr>
          <w:color w:val="000000" w:themeColor="text1"/>
          <w:sz w:val="24"/>
          <w:szCs w:val="24"/>
        </w:rPr>
        <w:t xml:space="preserve"> from the permit given that </w:t>
      </w:r>
      <w:r w:rsidR="007B1B26" w:rsidRPr="00523BEE">
        <w:rPr>
          <w:color w:val="000000" w:themeColor="text1"/>
          <w:sz w:val="24"/>
          <w:szCs w:val="24"/>
        </w:rPr>
        <w:t xml:space="preserve">the emission sources listed in the description are accounted for individually.  </w:t>
      </w:r>
      <w:r w:rsidR="000B7EA5">
        <w:rPr>
          <w:color w:val="000000" w:themeColor="text1"/>
          <w:sz w:val="24"/>
          <w:szCs w:val="24"/>
        </w:rPr>
        <w:t xml:space="preserve">As such, Emission Point AA-800 </w:t>
      </w:r>
      <w:proofErr w:type="gramStart"/>
      <w:r w:rsidR="000B7EA5">
        <w:rPr>
          <w:color w:val="000000" w:themeColor="text1"/>
          <w:sz w:val="24"/>
          <w:szCs w:val="24"/>
        </w:rPr>
        <w:t>has been removed</w:t>
      </w:r>
      <w:proofErr w:type="gramEnd"/>
      <w:r w:rsidR="000B7EA5">
        <w:rPr>
          <w:color w:val="000000" w:themeColor="text1"/>
          <w:sz w:val="24"/>
          <w:szCs w:val="24"/>
        </w:rPr>
        <w:t xml:space="preserve"> from the TVOP as a regulated emission source</w:t>
      </w:r>
      <w:r w:rsidR="007B1B26" w:rsidRPr="00523BEE">
        <w:rPr>
          <w:color w:val="000000" w:themeColor="text1"/>
          <w:sz w:val="24"/>
          <w:szCs w:val="24"/>
        </w:rPr>
        <w:t>.</w:t>
      </w:r>
    </w:p>
    <w:p w14:paraId="5CBDAC37" w14:textId="77777777" w:rsidR="000B7EA5" w:rsidRPr="00523BEE" w:rsidRDefault="000B7EA5" w:rsidP="007274E7">
      <w:pPr>
        <w:tabs>
          <w:tab w:val="left" w:pos="900"/>
        </w:tabs>
        <w:ind w:left="900" w:hanging="540"/>
        <w:jc w:val="both"/>
        <w:rPr>
          <w:color w:val="000000" w:themeColor="text1"/>
          <w:sz w:val="24"/>
          <w:szCs w:val="24"/>
        </w:rPr>
      </w:pPr>
    </w:p>
    <w:p w14:paraId="1B1F2E0C" w14:textId="1A59FAA4" w:rsidR="00192715" w:rsidRDefault="000B7EA5" w:rsidP="000B7EA5">
      <w:pPr>
        <w:tabs>
          <w:tab w:val="left" w:pos="900"/>
        </w:tabs>
        <w:ind w:left="900" w:hanging="540"/>
        <w:jc w:val="both"/>
        <w:rPr>
          <w:color w:val="000000" w:themeColor="text1"/>
          <w:sz w:val="24"/>
          <w:szCs w:val="24"/>
        </w:rPr>
      </w:pPr>
      <w:r>
        <w:rPr>
          <w:color w:val="000000" w:themeColor="text1"/>
          <w:sz w:val="24"/>
          <w:szCs w:val="24"/>
        </w:rPr>
        <w:lastRenderedPageBreak/>
        <w:t>(3)</w:t>
      </w:r>
      <w:r>
        <w:rPr>
          <w:color w:val="000000" w:themeColor="text1"/>
          <w:sz w:val="24"/>
          <w:szCs w:val="24"/>
        </w:rPr>
        <w:tab/>
      </w:r>
      <w:r w:rsidR="00192715" w:rsidRPr="00523BEE">
        <w:rPr>
          <w:color w:val="000000" w:themeColor="text1"/>
          <w:sz w:val="24"/>
          <w:szCs w:val="24"/>
        </w:rPr>
        <w:t xml:space="preserve">The facility requested that the </w:t>
      </w:r>
      <w:r>
        <w:rPr>
          <w:color w:val="000000" w:themeColor="text1"/>
          <w:sz w:val="24"/>
          <w:szCs w:val="24"/>
        </w:rPr>
        <w:t>“</w:t>
      </w:r>
      <w:r w:rsidR="00192715" w:rsidRPr="00523BEE">
        <w:rPr>
          <w:color w:val="000000" w:themeColor="text1"/>
          <w:sz w:val="24"/>
          <w:szCs w:val="24"/>
        </w:rPr>
        <w:t>Glue Line Layup Operation</w:t>
      </w:r>
      <w:r>
        <w:rPr>
          <w:color w:val="000000" w:themeColor="text1"/>
          <w:sz w:val="24"/>
          <w:szCs w:val="24"/>
        </w:rPr>
        <w:t>”</w:t>
      </w:r>
      <w:r w:rsidR="00192715" w:rsidRPr="00523BEE">
        <w:rPr>
          <w:color w:val="000000" w:themeColor="text1"/>
          <w:sz w:val="24"/>
          <w:szCs w:val="24"/>
        </w:rPr>
        <w:t xml:space="preserve"> </w:t>
      </w:r>
      <w:r>
        <w:rPr>
          <w:color w:val="000000" w:themeColor="text1"/>
          <w:sz w:val="24"/>
          <w:szCs w:val="24"/>
        </w:rPr>
        <w:t>(</w:t>
      </w:r>
      <w:r w:rsidR="00192715" w:rsidRPr="00523BEE">
        <w:rPr>
          <w:color w:val="000000" w:themeColor="text1"/>
          <w:sz w:val="24"/>
          <w:szCs w:val="24"/>
        </w:rPr>
        <w:t>previously permitted as Emission Point AA-301</w:t>
      </w:r>
      <w:r>
        <w:rPr>
          <w:color w:val="000000" w:themeColor="text1"/>
          <w:sz w:val="24"/>
          <w:szCs w:val="24"/>
        </w:rPr>
        <w:t>)</w:t>
      </w:r>
      <w:r w:rsidR="00192715" w:rsidRPr="00523BEE">
        <w:rPr>
          <w:color w:val="000000" w:themeColor="text1"/>
          <w:sz w:val="24"/>
          <w:szCs w:val="24"/>
        </w:rPr>
        <w:t xml:space="preserve"> </w:t>
      </w:r>
      <w:proofErr w:type="gramStart"/>
      <w:r w:rsidR="00192715" w:rsidRPr="00523BEE">
        <w:rPr>
          <w:color w:val="000000" w:themeColor="text1"/>
          <w:sz w:val="24"/>
          <w:szCs w:val="24"/>
        </w:rPr>
        <w:t>be removed</w:t>
      </w:r>
      <w:proofErr w:type="gramEnd"/>
      <w:r>
        <w:rPr>
          <w:color w:val="000000" w:themeColor="text1"/>
          <w:sz w:val="24"/>
          <w:szCs w:val="24"/>
        </w:rPr>
        <w:t xml:space="preserve"> </w:t>
      </w:r>
      <w:r w:rsidR="008E717F">
        <w:rPr>
          <w:color w:val="000000" w:themeColor="text1"/>
          <w:sz w:val="24"/>
          <w:szCs w:val="24"/>
        </w:rPr>
        <w:t xml:space="preserve">from the permit </w:t>
      </w:r>
      <w:r>
        <w:rPr>
          <w:color w:val="000000" w:themeColor="text1"/>
          <w:sz w:val="24"/>
          <w:szCs w:val="24"/>
        </w:rPr>
        <w:t xml:space="preserve">because </w:t>
      </w:r>
      <w:r w:rsidR="00192715" w:rsidRPr="00523BEE">
        <w:rPr>
          <w:color w:val="000000" w:themeColor="text1"/>
          <w:sz w:val="24"/>
          <w:szCs w:val="24"/>
        </w:rPr>
        <w:t xml:space="preserve">the emissions from this source are accounted for in the </w:t>
      </w:r>
      <w:r>
        <w:rPr>
          <w:color w:val="000000" w:themeColor="text1"/>
          <w:sz w:val="24"/>
          <w:szCs w:val="24"/>
        </w:rPr>
        <w:t>“</w:t>
      </w:r>
      <w:proofErr w:type="spellStart"/>
      <w:r w:rsidR="00192715" w:rsidRPr="00523BEE">
        <w:rPr>
          <w:color w:val="000000" w:themeColor="text1"/>
          <w:sz w:val="24"/>
          <w:szCs w:val="24"/>
        </w:rPr>
        <w:t>Glue</w:t>
      </w:r>
      <w:r>
        <w:rPr>
          <w:color w:val="000000" w:themeColor="text1"/>
          <w:sz w:val="24"/>
          <w:szCs w:val="24"/>
        </w:rPr>
        <w:t>l</w:t>
      </w:r>
      <w:r w:rsidR="00192715" w:rsidRPr="00523BEE">
        <w:rPr>
          <w:color w:val="000000" w:themeColor="text1"/>
          <w:sz w:val="24"/>
          <w:szCs w:val="24"/>
        </w:rPr>
        <w:t>ine</w:t>
      </w:r>
      <w:proofErr w:type="spellEnd"/>
      <w:r w:rsidR="00192715" w:rsidRPr="00523BEE">
        <w:rPr>
          <w:color w:val="000000" w:themeColor="text1"/>
          <w:sz w:val="24"/>
          <w:szCs w:val="24"/>
        </w:rPr>
        <w:t xml:space="preserve"> and Layup Operations</w:t>
      </w:r>
      <w:r>
        <w:rPr>
          <w:color w:val="000000" w:themeColor="text1"/>
          <w:sz w:val="24"/>
          <w:szCs w:val="24"/>
        </w:rPr>
        <w:t>”</w:t>
      </w:r>
      <w:r w:rsidR="00192715" w:rsidRPr="00523BEE">
        <w:rPr>
          <w:color w:val="000000" w:themeColor="text1"/>
          <w:sz w:val="24"/>
          <w:szCs w:val="24"/>
        </w:rPr>
        <w:t xml:space="preserve"> </w:t>
      </w:r>
      <w:r>
        <w:rPr>
          <w:color w:val="000000" w:themeColor="text1"/>
          <w:sz w:val="24"/>
          <w:szCs w:val="24"/>
        </w:rPr>
        <w:t xml:space="preserve">(now </w:t>
      </w:r>
      <w:r w:rsidR="00192715" w:rsidRPr="00523BEE">
        <w:rPr>
          <w:color w:val="000000" w:themeColor="text1"/>
          <w:sz w:val="24"/>
          <w:szCs w:val="24"/>
        </w:rPr>
        <w:t xml:space="preserve">identified as Emission Point AA-314 in the </w:t>
      </w:r>
      <w:r>
        <w:rPr>
          <w:color w:val="000000" w:themeColor="text1"/>
          <w:sz w:val="24"/>
          <w:szCs w:val="24"/>
        </w:rPr>
        <w:t>TVOP)</w:t>
      </w:r>
      <w:r w:rsidR="00192715" w:rsidRPr="00523BEE">
        <w:rPr>
          <w:color w:val="000000" w:themeColor="text1"/>
          <w:sz w:val="24"/>
          <w:szCs w:val="24"/>
        </w:rPr>
        <w:t>.</w:t>
      </w:r>
    </w:p>
    <w:p w14:paraId="31F6CD5F" w14:textId="77777777" w:rsidR="000B7EA5" w:rsidRPr="00523BEE" w:rsidRDefault="000B7EA5" w:rsidP="000B7EA5">
      <w:pPr>
        <w:tabs>
          <w:tab w:val="left" w:pos="900"/>
        </w:tabs>
        <w:ind w:left="900" w:hanging="540"/>
        <w:jc w:val="both"/>
        <w:rPr>
          <w:color w:val="000000" w:themeColor="text1"/>
          <w:sz w:val="24"/>
          <w:szCs w:val="24"/>
        </w:rPr>
      </w:pPr>
    </w:p>
    <w:p w14:paraId="5959DA24" w14:textId="7700D008" w:rsidR="00061B92" w:rsidRPr="00061B92" w:rsidRDefault="00047795" w:rsidP="00047795">
      <w:pPr>
        <w:tabs>
          <w:tab w:val="left" w:pos="900"/>
        </w:tabs>
        <w:ind w:left="900" w:hanging="540"/>
        <w:jc w:val="both"/>
        <w:rPr>
          <w:color w:val="000000" w:themeColor="text1"/>
          <w:sz w:val="24"/>
          <w:szCs w:val="24"/>
        </w:rPr>
      </w:pPr>
      <w:r>
        <w:rPr>
          <w:color w:val="000000" w:themeColor="text1"/>
          <w:sz w:val="24"/>
          <w:szCs w:val="24"/>
        </w:rPr>
        <w:t>(4)</w:t>
      </w:r>
      <w:r>
        <w:rPr>
          <w:color w:val="000000" w:themeColor="text1"/>
          <w:sz w:val="24"/>
          <w:szCs w:val="24"/>
        </w:rPr>
        <w:tab/>
      </w:r>
      <w:r w:rsidR="00EB4AC7" w:rsidRPr="00523BEE">
        <w:rPr>
          <w:color w:val="000000" w:themeColor="text1"/>
          <w:sz w:val="24"/>
          <w:szCs w:val="24"/>
        </w:rPr>
        <w:t xml:space="preserve">The facility requested </w:t>
      </w:r>
      <w:r w:rsidR="00061B92">
        <w:rPr>
          <w:color w:val="000000" w:themeColor="text1"/>
          <w:sz w:val="24"/>
          <w:szCs w:val="24"/>
        </w:rPr>
        <w:t xml:space="preserve">that the existing </w:t>
      </w:r>
      <w:r w:rsidR="00EB4AC7" w:rsidRPr="00523BEE">
        <w:rPr>
          <w:color w:val="000000" w:themeColor="text1"/>
          <w:sz w:val="24"/>
          <w:szCs w:val="24"/>
        </w:rPr>
        <w:t xml:space="preserve">biennial testing requirements for Emission Points AA-305, AA-306, AA-307, and AA-409 be removed.   </w:t>
      </w:r>
      <w:r w:rsidR="00061B92" w:rsidRPr="00061B92">
        <w:rPr>
          <w:color w:val="000000" w:themeColor="text1"/>
          <w:sz w:val="24"/>
          <w:szCs w:val="24"/>
        </w:rPr>
        <w:t xml:space="preserve">Based on historical stack testing data over the past ten (10) years, the frequency for which </w:t>
      </w:r>
      <w:r>
        <w:rPr>
          <w:color w:val="000000" w:themeColor="text1"/>
          <w:sz w:val="24"/>
          <w:szCs w:val="24"/>
        </w:rPr>
        <w:t>GP – Taylorsville</w:t>
      </w:r>
      <w:r w:rsidR="00061B92" w:rsidRPr="00061B92">
        <w:rPr>
          <w:color w:val="000000" w:themeColor="text1"/>
          <w:sz w:val="24"/>
          <w:szCs w:val="24"/>
        </w:rPr>
        <w:t xml:space="preserve"> must conduct performance stack testing to evaluate pollutant-specific emissions from </w:t>
      </w:r>
      <w:r>
        <w:rPr>
          <w:color w:val="000000" w:themeColor="text1"/>
          <w:sz w:val="24"/>
          <w:szCs w:val="24"/>
        </w:rPr>
        <w:t>the applicable emission source</w:t>
      </w:r>
      <w:r w:rsidR="00061B92" w:rsidRPr="00061B92">
        <w:rPr>
          <w:color w:val="000000" w:themeColor="text1"/>
          <w:sz w:val="24"/>
          <w:szCs w:val="24"/>
        </w:rPr>
        <w:t xml:space="preserve"> will be modified as follow</w:t>
      </w:r>
      <w:r>
        <w:rPr>
          <w:color w:val="000000" w:themeColor="text1"/>
          <w:sz w:val="24"/>
          <w:szCs w:val="24"/>
        </w:rPr>
        <w:t>s</w:t>
      </w:r>
      <w:r w:rsidR="00061B92" w:rsidRPr="00061B92">
        <w:rPr>
          <w:color w:val="000000" w:themeColor="text1"/>
          <w:sz w:val="24"/>
          <w:szCs w:val="24"/>
        </w:rPr>
        <w:t>:</w:t>
      </w:r>
    </w:p>
    <w:p w14:paraId="67126FCB" w14:textId="77777777" w:rsidR="00061B92" w:rsidRPr="00061B92" w:rsidRDefault="00061B92" w:rsidP="00047795">
      <w:pPr>
        <w:ind w:left="720"/>
        <w:jc w:val="both"/>
        <w:rPr>
          <w:color w:val="000000" w:themeColor="text1"/>
          <w:sz w:val="24"/>
          <w:szCs w:val="24"/>
        </w:rPr>
      </w:pPr>
    </w:p>
    <w:p w14:paraId="49579AFC" w14:textId="7BB042DC" w:rsidR="00061B92" w:rsidRDefault="00047795" w:rsidP="00047795">
      <w:pPr>
        <w:tabs>
          <w:tab w:val="left" w:pos="1440"/>
        </w:tabs>
        <w:ind w:left="1440" w:hanging="540"/>
        <w:jc w:val="both"/>
        <w:rPr>
          <w:color w:val="000000" w:themeColor="text1"/>
          <w:sz w:val="24"/>
          <w:szCs w:val="24"/>
        </w:rPr>
      </w:pPr>
      <w:r>
        <w:rPr>
          <w:color w:val="000000" w:themeColor="text1"/>
          <w:sz w:val="24"/>
          <w:szCs w:val="24"/>
        </w:rPr>
        <w:t>(i)</w:t>
      </w:r>
      <w:r>
        <w:rPr>
          <w:color w:val="000000" w:themeColor="text1"/>
          <w:sz w:val="24"/>
          <w:szCs w:val="24"/>
        </w:rPr>
        <w:tab/>
      </w:r>
      <w:r w:rsidR="001B5B5E" w:rsidRPr="001B5B5E">
        <w:rPr>
          <w:i/>
          <w:color w:val="000000" w:themeColor="text1"/>
          <w:sz w:val="24"/>
          <w:szCs w:val="24"/>
        </w:rPr>
        <w:t>For Emission Point AA-305</w:t>
      </w:r>
      <w:r w:rsidR="00FB2F53">
        <w:rPr>
          <w:color w:val="000000" w:themeColor="text1"/>
          <w:sz w:val="24"/>
          <w:szCs w:val="24"/>
        </w:rPr>
        <w:t>:</w:t>
      </w:r>
      <w:r w:rsidR="001B5B5E">
        <w:rPr>
          <w:color w:val="000000" w:themeColor="text1"/>
          <w:sz w:val="24"/>
          <w:szCs w:val="24"/>
        </w:rPr>
        <w:t xml:space="preserve"> </w:t>
      </w:r>
      <w:r w:rsidR="00061B92" w:rsidRPr="00061B92">
        <w:rPr>
          <w:color w:val="000000" w:themeColor="text1"/>
          <w:sz w:val="24"/>
          <w:szCs w:val="24"/>
        </w:rPr>
        <w:t xml:space="preserve">As the historical margin of compliance has (on average) been equal to </w:t>
      </w:r>
      <w:r w:rsidR="00FB3388">
        <w:rPr>
          <w:color w:val="000000" w:themeColor="text1"/>
          <w:sz w:val="24"/>
          <w:szCs w:val="24"/>
        </w:rPr>
        <w:t>eighty</w:t>
      </w:r>
      <w:r w:rsidR="00061B92" w:rsidRPr="00061B92">
        <w:rPr>
          <w:color w:val="000000" w:themeColor="text1"/>
          <w:sz w:val="24"/>
          <w:szCs w:val="24"/>
        </w:rPr>
        <w:t>-five percent (</w:t>
      </w:r>
      <w:r w:rsidR="00FB3388">
        <w:rPr>
          <w:color w:val="000000" w:themeColor="text1"/>
          <w:sz w:val="24"/>
          <w:szCs w:val="24"/>
        </w:rPr>
        <w:t>8</w:t>
      </w:r>
      <w:r w:rsidR="00061B92" w:rsidRPr="00061B92">
        <w:rPr>
          <w:color w:val="000000" w:themeColor="text1"/>
          <w:sz w:val="24"/>
          <w:szCs w:val="24"/>
        </w:rPr>
        <w:t xml:space="preserve">5%) for the </w:t>
      </w:r>
      <w:r w:rsidR="001B5B5E">
        <w:rPr>
          <w:color w:val="000000" w:themeColor="text1"/>
          <w:sz w:val="24"/>
          <w:szCs w:val="24"/>
        </w:rPr>
        <w:t>specified limitation on filterable PM / PM</w:t>
      </w:r>
      <w:r w:rsidR="001B5B5E" w:rsidRPr="001B5B5E">
        <w:rPr>
          <w:color w:val="000000" w:themeColor="text1"/>
          <w:sz w:val="24"/>
          <w:szCs w:val="24"/>
          <w:vertAlign w:val="subscript"/>
        </w:rPr>
        <w:t>10</w:t>
      </w:r>
      <w:r w:rsidR="001B5B5E">
        <w:rPr>
          <w:color w:val="000000" w:themeColor="text1"/>
          <w:sz w:val="24"/>
          <w:szCs w:val="24"/>
        </w:rPr>
        <w:t xml:space="preserve"> emissions</w:t>
      </w:r>
      <w:r w:rsidR="00061B92" w:rsidRPr="00061B92">
        <w:rPr>
          <w:color w:val="000000" w:themeColor="text1"/>
          <w:sz w:val="24"/>
          <w:szCs w:val="24"/>
        </w:rPr>
        <w:t xml:space="preserve">, </w:t>
      </w:r>
      <w:r w:rsidR="00FB3388">
        <w:rPr>
          <w:color w:val="000000" w:themeColor="text1"/>
          <w:sz w:val="24"/>
          <w:szCs w:val="24"/>
        </w:rPr>
        <w:t>the facility</w:t>
      </w:r>
      <w:r w:rsidR="00061B92" w:rsidRPr="00061B92">
        <w:rPr>
          <w:color w:val="000000" w:themeColor="text1"/>
          <w:sz w:val="24"/>
          <w:szCs w:val="24"/>
        </w:rPr>
        <w:t xml:space="preserve"> will no longer be required to conduct performance stack testing </w:t>
      </w:r>
      <w:r w:rsidR="00FB3388">
        <w:rPr>
          <w:color w:val="000000" w:themeColor="text1"/>
          <w:sz w:val="24"/>
          <w:szCs w:val="24"/>
        </w:rPr>
        <w:t xml:space="preserve">on Emission Point AA-305 </w:t>
      </w:r>
      <w:r w:rsidR="00061B92" w:rsidRPr="00061B92">
        <w:rPr>
          <w:color w:val="000000" w:themeColor="text1"/>
          <w:sz w:val="24"/>
          <w:szCs w:val="24"/>
        </w:rPr>
        <w:t xml:space="preserve">in order to demonstrate compliance with the </w:t>
      </w:r>
      <w:r w:rsidR="00FB3388">
        <w:rPr>
          <w:color w:val="000000" w:themeColor="text1"/>
          <w:sz w:val="24"/>
          <w:szCs w:val="24"/>
        </w:rPr>
        <w:t>applicable emission limitations</w:t>
      </w:r>
      <w:r w:rsidR="00061B92" w:rsidRPr="00061B92">
        <w:rPr>
          <w:color w:val="000000" w:themeColor="text1"/>
          <w:sz w:val="24"/>
          <w:szCs w:val="24"/>
        </w:rPr>
        <w:t>.</w:t>
      </w:r>
    </w:p>
    <w:p w14:paraId="7DBD3871" w14:textId="5D10F39F" w:rsidR="00FB3388" w:rsidRDefault="00FB3388" w:rsidP="00047795">
      <w:pPr>
        <w:tabs>
          <w:tab w:val="left" w:pos="1440"/>
        </w:tabs>
        <w:ind w:left="1440" w:hanging="540"/>
        <w:jc w:val="both"/>
        <w:rPr>
          <w:color w:val="000000" w:themeColor="text1"/>
          <w:sz w:val="24"/>
          <w:szCs w:val="24"/>
        </w:rPr>
      </w:pPr>
    </w:p>
    <w:p w14:paraId="6E5F04A2" w14:textId="49BC88AD" w:rsidR="00FB3388" w:rsidRDefault="00FB3388" w:rsidP="00047795">
      <w:pPr>
        <w:tabs>
          <w:tab w:val="left" w:pos="1440"/>
        </w:tabs>
        <w:ind w:left="1440" w:hanging="540"/>
        <w:jc w:val="both"/>
        <w:rPr>
          <w:color w:val="000000" w:themeColor="text1"/>
          <w:sz w:val="24"/>
          <w:szCs w:val="24"/>
        </w:rPr>
      </w:pPr>
      <w:r>
        <w:rPr>
          <w:color w:val="000000" w:themeColor="text1"/>
          <w:sz w:val="24"/>
          <w:szCs w:val="24"/>
        </w:rPr>
        <w:t>(ii)</w:t>
      </w:r>
      <w:r>
        <w:rPr>
          <w:color w:val="000000" w:themeColor="text1"/>
          <w:sz w:val="24"/>
          <w:szCs w:val="24"/>
        </w:rPr>
        <w:tab/>
      </w:r>
      <w:r w:rsidR="001B5B5E" w:rsidRPr="001B5B5E">
        <w:rPr>
          <w:i/>
          <w:color w:val="000000" w:themeColor="text1"/>
          <w:sz w:val="24"/>
          <w:szCs w:val="24"/>
        </w:rPr>
        <w:t>For Emission Points AA-306 and AA-307</w:t>
      </w:r>
      <w:r w:rsidR="00FB2F53">
        <w:rPr>
          <w:color w:val="000000" w:themeColor="text1"/>
          <w:sz w:val="24"/>
          <w:szCs w:val="24"/>
        </w:rPr>
        <w:t>:</w:t>
      </w:r>
      <w:r w:rsidR="001B5B5E">
        <w:rPr>
          <w:color w:val="000000" w:themeColor="text1"/>
          <w:sz w:val="24"/>
          <w:szCs w:val="24"/>
        </w:rPr>
        <w:t xml:space="preserve"> </w:t>
      </w:r>
      <w:r>
        <w:rPr>
          <w:color w:val="000000" w:themeColor="text1"/>
          <w:sz w:val="24"/>
          <w:szCs w:val="24"/>
        </w:rPr>
        <w:t>As</w:t>
      </w:r>
      <w:r w:rsidR="001B5B5E">
        <w:rPr>
          <w:color w:val="000000" w:themeColor="text1"/>
          <w:sz w:val="24"/>
          <w:szCs w:val="24"/>
        </w:rPr>
        <w:t xml:space="preserve"> </w:t>
      </w:r>
      <w:r w:rsidR="005205F6">
        <w:rPr>
          <w:color w:val="000000" w:themeColor="text1"/>
          <w:sz w:val="24"/>
          <w:szCs w:val="24"/>
        </w:rPr>
        <w:t>it has been</w:t>
      </w:r>
      <w:r w:rsidR="001B5B5E">
        <w:rPr>
          <w:color w:val="000000" w:themeColor="text1"/>
          <w:sz w:val="24"/>
          <w:szCs w:val="24"/>
        </w:rPr>
        <w:t xml:space="preserve"> determined that </w:t>
      </w:r>
      <w:r w:rsidR="0094277F">
        <w:rPr>
          <w:color w:val="000000" w:themeColor="text1"/>
          <w:sz w:val="24"/>
          <w:szCs w:val="24"/>
        </w:rPr>
        <w:t xml:space="preserve">an explicit </w:t>
      </w:r>
      <w:r w:rsidR="00FB2F53">
        <w:rPr>
          <w:color w:val="000000" w:themeColor="text1"/>
          <w:sz w:val="24"/>
          <w:szCs w:val="24"/>
        </w:rPr>
        <w:t>short-term</w:t>
      </w:r>
      <w:r w:rsidR="001B5B5E">
        <w:rPr>
          <w:color w:val="000000" w:themeColor="text1"/>
          <w:sz w:val="24"/>
          <w:szCs w:val="24"/>
        </w:rPr>
        <w:t xml:space="preserve"> </w:t>
      </w:r>
      <w:r w:rsidR="005205F6" w:rsidRPr="005205F6">
        <w:rPr>
          <w:color w:val="000000" w:themeColor="text1"/>
          <w:sz w:val="24"/>
          <w:szCs w:val="24"/>
        </w:rPr>
        <w:t>(i.e. pounds per hour)</w:t>
      </w:r>
      <w:r w:rsidR="005205F6">
        <w:rPr>
          <w:color w:val="000000" w:themeColor="text1"/>
          <w:sz w:val="24"/>
          <w:szCs w:val="24"/>
        </w:rPr>
        <w:t xml:space="preserve"> </w:t>
      </w:r>
      <w:r w:rsidR="001B5B5E">
        <w:rPr>
          <w:color w:val="000000" w:themeColor="text1"/>
          <w:sz w:val="24"/>
          <w:szCs w:val="24"/>
        </w:rPr>
        <w:t>emissio</w:t>
      </w:r>
      <w:r w:rsidR="005205F6">
        <w:rPr>
          <w:color w:val="000000" w:themeColor="text1"/>
          <w:sz w:val="24"/>
          <w:szCs w:val="24"/>
        </w:rPr>
        <w:t>n limitation</w:t>
      </w:r>
      <w:r w:rsidR="00FB2F53">
        <w:rPr>
          <w:color w:val="000000" w:themeColor="text1"/>
          <w:sz w:val="24"/>
          <w:szCs w:val="24"/>
        </w:rPr>
        <w:t xml:space="preserve"> </w:t>
      </w:r>
      <w:r w:rsidR="005205F6">
        <w:rPr>
          <w:color w:val="000000" w:themeColor="text1"/>
          <w:sz w:val="24"/>
          <w:szCs w:val="24"/>
        </w:rPr>
        <w:t>was</w:t>
      </w:r>
      <w:r w:rsidR="001B5B5E">
        <w:rPr>
          <w:color w:val="000000" w:themeColor="text1"/>
          <w:sz w:val="24"/>
          <w:szCs w:val="24"/>
        </w:rPr>
        <w:t xml:space="preserve"> </w:t>
      </w:r>
      <w:r w:rsidR="0094277F">
        <w:rPr>
          <w:color w:val="000000" w:themeColor="text1"/>
          <w:sz w:val="24"/>
          <w:szCs w:val="24"/>
        </w:rPr>
        <w:t xml:space="preserve">never formally </w:t>
      </w:r>
      <w:r w:rsidR="001B5B5E">
        <w:rPr>
          <w:color w:val="000000" w:themeColor="text1"/>
          <w:sz w:val="24"/>
          <w:szCs w:val="24"/>
        </w:rPr>
        <w:t xml:space="preserve">established for the </w:t>
      </w:r>
      <w:r w:rsidR="005205F6">
        <w:rPr>
          <w:color w:val="000000" w:themeColor="text1"/>
          <w:sz w:val="24"/>
          <w:szCs w:val="24"/>
        </w:rPr>
        <w:t>each</w:t>
      </w:r>
      <w:r w:rsidR="001B5B5E">
        <w:rPr>
          <w:color w:val="000000" w:themeColor="text1"/>
          <w:sz w:val="24"/>
          <w:szCs w:val="24"/>
        </w:rPr>
        <w:t xml:space="preserve"> </w:t>
      </w:r>
      <w:r w:rsidR="005205F6">
        <w:rPr>
          <w:color w:val="000000" w:themeColor="text1"/>
          <w:sz w:val="24"/>
          <w:szCs w:val="24"/>
        </w:rPr>
        <w:t>source</w:t>
      </w:r>
      <w:r w:rsidR="001B5B5E">
        <w:rPr>
          <w:color w:val="000000" w:themeColor="text1"/>
          <w:sz w:val="24"/>
          <w:szCs w:val="24"/>
        </w:rPr>
        <w:t xml:space="preserve"> (particularly for </w:t>
      </w:r>
      <w:r w:rsidR="0094277F">
        <w:rPr>
          <w:color w:val="000000" w:themeColor="text1"/>
          <w:sz w:val="24"/>
          <w:szCs w:val="24"/>
        </w:rPr>
        <w:t xml:space="preserve">filterable </w:t>
      </w:r>
      <w:r w:rsidR="001B5B5E">
        <w:rPr>
          <w:color w:val="000000" w:themeColor="text1"/>
          <w:sz w:val="24"/>
          <w:szCs w:val="24"/>
        </w:rPr>
        <w:t>PM and/or PM</w:t>
      </w:r>
      <w:r w:rsidR="001B5B5E" w:rsidRPr="001B5B5E">
        <w:rPr>
          <w:color w:val="000000" w:themeColor="text1"/>
          <w:sz w:val="24"/>
          <w:szCs w:val="24"/>
          <w:vertAlign w:val="subscript"/>
        </w:rPr>
        <w:t>10</w:t>
      </w:r>
      <w:r w:rsidR="001B5B5E">
        <w:rPr>
          <w:color w:val="000000" w:themeColor="text1"/>
          <w:sz w:val="24"/>
          <w:szCs w:val="24"/>
        </w:rPr>
        <w:t xml:space="preserve">), </w:t>
      </w:r>
      <w:r w:rsidR="001B5B5E" w:rsidRPr="001B5B5E">
        <w:rPr>
          <w:color w:val="000000" w:themeColor="text1"/>
          <w:sz w:val="24"/>
          <w:szCs w:val="24"/>
        </w:rPr>
        <w:t>the facility will no longer be required to conduct stack testing</w:t>
      </w:r>
      <w:r w:rsidR="0094277F">
        <w:rPr>
          <w:color w:val="000000" w:themeColor="text1"/>
          <w:sz w:val="24"/>
          <w:szCs w:val="24"/>
        </w:rPr>
        <w:t xml:space="preserve"> to evaluate PM / PM</w:t>
      </w:r>
      <w:r w:rsidR="0094277F" w:rsidRPr="0094277F">
        <w:rPr>
          <w:color w:val="000000" w:themeColor="text1"/>
          <w:sz w:val="24"/>
          <w:szCs w:val="24"/>
          <w:vertAlign w:val="subscript"/>
        </w:rPr>
        <w:t>10</w:t>
      </w:r>
      <w:r w:rsidR="0094277F">
        <w:rPr>
          <w:color w:val="000000" w:themeColor="text1"/>
          <w:sz w:val="24"/>
          <w:szCs w:val="24"/>
        </w:rPr>
        <w:t xml:space="preserve"> emissions from each source</w:t>
      </w:r>
      <w:r w:rsidR="001B5B5E">
        <w:rPr>
          <w:color w:val="000000" w:themeColor="text1"/>
          <w:sz w:val="24"/>
          <w:szCs w:val="24"/>
        </w:rPr>
        <w:t>.</w:t>
      </w:r>
    </w:p>
    <w:p w14:paraId="3442D7DA" w14:textId="4B2854E6" w:rsidR="00FB3388" w:rsidRDefault="00FB3388" w:rsidP="00047795">
      <w:pPr>
        <w:tabs>
          <w:tab w:val="left" w:pos="1440"/>
        </w:tabs>
        <w:ind w:left="1440" w:hanging="540"/>
        <w:jc w:val="both"/>
        <w:rPr>
          <w:color w:val="000000" w:themeColor="text1"/>
          <w:sz w:val="24"/>
          <w:szCs w:val="24"/>
        </w:rPr>
      </w:pPr>
    </w:p>
    <w:p w14:paraId="74F86270" w14:textId="1A67384F" w:rsidR="00303FD7" w:rsidRPr="00FB2F53" w:rsidRDefault="00FB3388" w:rsidP="00FB2F53">
      <w:pPr>
        <w:tabs>
          <w:tab w:val="left" w:pos="1440"/>
        </w:tabs>
        <w:ind w:left="1440" w:hanging="540"/>
        <w:jc w:val="both"/>
        <w:rPr>
          <w:color w:val="000000" w:themeColor="text1"/>
          <w:sz w:val="24"/>
          <w:szCs w:val="24"/>
        </w:rPr>
      </w:pPr>
      <w:r>
        <w:rPr>
          <w:color w:val="000000" w:themeColor="text1"/>
          <w:sz w:val="24"/>
          <w:szCs w:val="24"/>
        </w:rPr>
        <w:t>(iii)</w:t>
      </w:r>
      <w:r>
        <w:rPr>
          <w:color w:val="000000" w:themeColor="text1"/>
          <w:sz w:val="24"/>
          <w:szCs w:val="24"/>
        </w:rPr>
        <w:tab/>
      </w:r>
      <w:r w:rsidR="00FB2F53" w:rsidRPr="00FB2F53">
        <w:rPr>
          <w:i/>
          <w:color w:val="000000" w:themeColor="text1"/>
          <w:sz w:val="24"/>
          <w:szCs w:val="24"/>
        </w:rPr>
        <w:t>For Emission Point AA-409</w:t>
      </w:r>
      <w:r w:rsidR="00FB2F53">
        <w:rPr>
          <w:color w:val="000000" w:themeColor="text1"/>
          <w:sz w:val="24"/>
          <w:szCs w:val="24"/>
        </w:rPr>
        <w:t xml:space="preserve">: </w:t>
      </w:r>
      <w:r w:rsidR="00586C75">
        <w:rPr>
          <w:color w:val="000000" w:themeColor="text1"/>
          <w:sz w:val="24"/>
          <w:szCs w:val="24"/>
        </w:rPr>
        <w:t>Based on</w:t>
      </w:r>
      <w:r w:rsidR="00061B92" w:rsidRPr="00061B92">
        <w:rPr>
          <w:color w:val="000000" w:themeColor="text1"/>
          <w:sz w:val="24"/>
          <w:szCs w:val="24"/>
        </w:rPr>
        <w:t xml:space="preserve"> the historical margin of compliance </w:t>
      </w:r>
      <w:r w:rsidR="00586C75">
        <w:rPr>
          <w:color w:val="000000" w:themeColor="text1"/>
          <w:sz w:val="24"/>
          <w:szCs w:val="24"/>
        </w:rPr>
        <w:t xml:space="preserve">[i.e. </w:t>
      </w:r>
      <w:r w:rsidR="00061B92" w:rsidRPr="00061B92">
        <w:rPr>
          <w:color w:val="000000" w:themeColor="text1"/>
          <w:sz w:val="24"/>
          <w:szCs w:val="24"/>
        </w:rPr>
        <w:t>fifty</w:t>
      </w:r>
      <w:r w:rsidR="001B5B5E">
        <w:rPr>
          <w:color w:val="000000" w:themeColor="text1"/>
          <w:sz w:val="24"/>
          <w:szCs w:val="24"/>
        </w:rPr>
        <w:t>-eight</w:t>
      </w:r>
      <w:r w:rsidR="00061B92" w:rsidRPr="00061B92">
        <w:rPr>
          <w:color w:val="000000" w:themeColor="text1"/>
          <w:sz w:val="24"/>
          <w:szCs w:val="24"/>
        </w:rPr>
        <w:t xml:space="preserve"> percent (5</w:t>
      </w:r>
      <w:r w:rsidR="001B5B5E">
        <w:rPr>
          <w:color w:val="000000" w:themeColor="text1"/>
          <w:sz w:val="24"/>
          <w:szCs w:val="24"/>
        </w:rPr>
        <w:t>8</w:t>
      </w:r>
      <w:r w:rsidR="00061B92" w:rsidRPr="00061B92">
        <w:rPr>
          <w:color w:val="000000" w:themeColor="text1"/>
          <w:sz w:val="24"/>
          <w:szCs w:val="24"/>
        </w:rPr>
        <w:t xml:space="preserve">%) </w:t>
      </w:r>
      <w:r w:rsidR="00586C75">
        <w:rPr>
          <w:color w:val="000000" w:themeColor="text1"/>
          <w:sz w:val="24"/>
          <w:szCs w:val="24"/>
        </w:rPr>
        <w:t xml:space="preserve">(on average) </w:t>
      </w:r>
      <w:r w:rsidR="00FB2F53" w:rsidRPr="00FB2F53">
        <w:rPr>
          <w:color w:val="000000" w:themeColor="text1"/>
          <w:sz w:val="24"/>
          <w:szCs w:val="24"/>
        </w:rPr>
        <w:t>for the specified filterable PM / PM</w:t>
      </w:r>
      <w:r w:rsidR="00FB2F53" w:rsidRPr="00FB2F53">
        <w:rPr>
          <w:color w:val="000000" w:themeColor="text1"/>
          <w:sz w:val="24"/>
          <w:szCs w:val="24"/>
          <w:vertAlign w:val="subscript"/>
        </w:rPr>
        <w:t>10</w:t>
      </w:r>
      <w:r w:rsidR="00FB2F53" w:rsidRPr="00FB2F53">
        <w:rPr>
          <w:color w:val="000000" w:themeColor="text1"/>
          <w:sz w:val="24"/>
          <w:szCs w:val="24"/>
        </w:rPr>
        <w:t xml:space="preserve"> </w:t>
      </w:r>
      <w:r w:rsidR="00711814">
        <w:rPr>
          <w:color w:val="000000" w:themeColor="text1"/>
          <w:sz w:val="24"/>
          <w:szCs w:val="24"/>
        </w:rPr>
        <w:t>limit] and in coordination with the Environmental Compliance &amp; Enforcement Division (ECED)</w:t>
      </w:r>
      <w:r w:rsidR="00061B92" w:rsidRPr="00061B92">
        <w:rPr>
          <w:color w:val="000000" w:themeColor="text1"/>
          <w:sz w:val="24"/>
          <w:szCs w:val="24"/>
        </w:rPr>
        <w:t xml:space="preserve">, </w:t>
      </w:r>
      <w:r w:rsidR="00FB2F53">
        <w:rPr>
          <w:color w:val="000000" w:themeColor="text1"/>
          <w:sz w:val="24"/>
          <w:szCs w:val="24"/>
        </w:rPr>
        <w:t>GP – Taylorsville</w:t>
      </w:r>
      <w:r w:rsidR="00061B92" w:rsidRPr="00061B92">
        <w:rPr>
          <w:color w:val="000000" w:themeColor="text1"/>
          <w:sz w:val="24"/>
          <w:szCs w:val="24"/>
        </w:rPr>
        <w:t xml:space="preserve"> is </w:t>
      </w:r>
      <w:r w:rsidR="00711814">
        <w:rPr>
          <w:color w:val="000000" w:themeColor="text1"/>
          <w:sz w:val="24"/>
          <w:szCs w:val="24"/>
        </w:rPr>
        <w:t>no longer</w:t>
      </w:r>
      <w:r w:rsidR="00711814" w:rsidRPr="00711814">
        <w:rPr>
          <w:color w:val="000000" w:themeColor="text1"/>
          <w:sz w:val="24"/>
          <w:szCs w:val="24"/>
        </w:rPr>
        <w:t xml:space="preserve"> required to conduct stack testing to evaluate </w:t>
      </w:r>
      <w:r w:rsidR="00711814">
        <w:rPr>
          <w:color w:val="000000" w:themeColor="text1"/>
          <w:sz w:val="24"/>
          <w:szCs w:val="24"/>
        </w:rPr>
        <w:t xml:space="preserve">filterable </w:t>
      </w:r>
      <w:r w:rsidR="00711814" w:rsidRPr="00711814">
        <w:rPr>
          <w:color w:val="000000" w:themeColor="text1"/>
          <w:sz w:val="24"/>
          <w:szCs w:val="24"/>
        </w:rPr>
        <w:t>PM / PM</w:t>
      </w:r>
      <w:r w:rsidR="00711814" w:rsidRPr="00711814">
        <w:rPr>
          <w:color w:val="000000" w:themeColor="text1"/>
          <w:sz w:val="24"/>
          <w:szCs w:val="24"/>
          <w:vertAlign w:val="subscript"/>
        </w:rPr>
        <w:t>10</w:t>
      </w:r>
      <w:r w:rsidR="00711814" w:rsidRPr="00711814">
        <w:rPr>
          <w:color w:val="000000" w:themeColor="text1"/>
          <w:sz w:val="24"/>
          <w:szCs w:val="24"/>
        </w:rPr>
        <w:t xml:space="preserve"> emissions from </w:t>
      </w:r>
      <w:r w:rsidR="00711814">
        <w:rPr>
          <w:color w:val="000000" w:themeColor="text1"/>
          <w:sz w:val="24"/>
          <w:szCs w:val="24"/>
        </w:rPr>
        <w:t>the unit</w:t>
      </w:r>
      <w:r w:rsidR="00061B92" w:rsidRPr="00061B92">
        <w:rPr>
          <w:color w:val="000000" w:themeColor="text1"/>
          <w:sz w:val="24"/>
          <w:szCs w:val="24"/>
        </w:rPr>
        <w:t>.</w:t>
      </w:r>
    </w:p>
    <w:p w14:paraId="77E556D3" w14:textId="77777777" w:rsidR="00303FD7" w:rsidRDefault="00303FD7" w:rsidP="006170CD">
      <w:pPr>
        <w:spacing w:after="120"/>
        <w:jc w:val="both"/>
        <w:rPr>
          <w:sz w:val="24"/>
          <w:szCs w:val="24"/>
          <w:u w:val="single"/>
        </w:rPr>
      </w:pPr>
    </w:p>
    <w:p w14:paraId="3440CB79" w14:textId="77777777" w:rsidR="00531513" w:rsidRDefault="00AB6090" w:rsidP="006170CD">
      <w:pPr>
        <w:spacing w:after="120"/>
        <w:jc w:val="both"/>
        <w:rPr>
          <w:sz w:val="24"/>
          <w:szCs w:val="24"/>
        </w:rPr>
      </w:pPr>
      <w:r>
        <w:rPr>
          <w:sz w:val="24"/>
          <w:szCs w:val="24"/>
          <w:u w:val="single"/>
        </w:rPr>
        <w:t>COMPLIANCE ASSURANCE MONITORING (</w:t>
      </w:r>
      <w:r w:rsidR="00531513">
        <w:rPr>
          <w:sz w:val="24"/>
          <w:szCs w:val="24"/>
          <w:u w:val="single"/>
        </w:rPr>
        <w:t>CAM</w:t>
      </w:r>
      <w:r>
        <w:rPr>
          <w:sz w:val="24"/>
          <w:szCs w:val="24"/>
          <w:u w:val="single"/>
        </w:rPr>
        <w:t>)</w:t>
      </w:r>
      <w:r w:rsidR="00531513">
        <w:rPr>
          <w:sz w:val="24"/>
          <w:szCs w:val="24"/>
          <w:u w:val="single"/>
        </w:rPr>
        <w:t xml:space="preserve"> APPLICABILITY</w:t>
      </w:r>
    </w:p>
    <w:p w14:paraId="34CAAD4F" w14:textId="77777777" w:rsidR="00AD7559" w:rsidRPr="00AD7559" w:rsidRDefault="00AD7559" w:rsidP="00104CE2">
      <w:pPr>
        <w:jc w:val="both"/>
        <w:rPr>
          <w:sz w:val="24"/>
          <w:szCs w:val="24"/>
        </w:rPr>
      </w:pPr>
      <w:proofErr w:type="gramStart"/>
      <w:r w:rsidRPr="00AD7559">
        <w:rPr>
          <w:sz w:val="24"/>
          <w:szCs w:val="24"/>
        </w:rPr>
        <w:t>40</w:t>
      </w:r>
      <w:proofErr w:type="gramEnd"/>
      <w:r w:rsidRPr="00AD7559">
        <w:rPr>
          <w:sz w:val="24"/>
          <w:szCs w:val="24"/>
        </w:rPr>
        <w:t xml:space="preserve"> CFR Part 64 specifies the requirements for </w:t>
      </w:r>
      <w:r w:rsidR="00AB6090">
        <w:rPr>
          <w:sz w:val="24"/>
          <w:szCs w:val="24"/>
        </w:rPr>
        <w:t>CAM</w:t>
      </w:r>
      <w:r w:rsidRPr="00AD7559">
        <w:rPr>
          <w:sz w:val="24"/>
          <w:szCs w:val="24"/>
        </w:rPr>
        <w:t xml:space="preserve">.  The general applicability of this rule can be found in 40 CFR 64.2 and requires a Title V source to comply with the CAM requirements if </w:t>
      </w:r>
      <w:r>
        <w:rPr>
          <w:sz w:val="24"/>
          <w:szCs w:val="24"/>
        </w:rPr>
        <w:t>all three of the</w:t>
      </w:r>
      <w:r w:rsidRPr="00AD7559">
        <w:rPr>
          <w:sz w:val="24"/>
          <w:szCs w:val="24"/>
        </w:rPr>
        <w:t xml:space="preserve"> following criteria are met</w:t>
      </w:r>
      <w:r w:rsidR="006F0510">
        <w:rPr>
          <w:sz w:val="24"/>
          <w:szCs w:val="24"/>
        </w:rPr>
        <w:t xml:space="preserve"> for a pollutant-specific emission unit (PSEU)</w:t>
      </w:r>
      <w:r w:rsidRPr="00AD7559">
        <w:rPr>
          <w:sz w:val="24"/>
          <w:szCs w:val="24"/>
        </w:rPr>
        <w:t>:</w:t>
      </w:r>
    </w:p>
    <w:p w14:paraId="5E678D0F" w14:textId="77777777" w:rsidR="00AD7559" w:rsidRPr="00AD7559" w:rsidRDefault="00AD7559" w:rsidP="00104CE2">
      <w:pPr>
        <w:jc w:val="both"/>
        <w:rPr>
          <w:sz w:val="24"/>
          <w:szCs w:val="24"/>
        </w:rPr>
      </w:pPr>
    </w:p>
    <w:p w14:paraId="459B5EBA" w14:textId="79452E71" w:rsidR="00AD7559" w:rsidRDefault="00AD7559" w:rsidP="00104CE2">
      <w:pPr>
        <w:numPr>
          <w:ilvl w:val="0"/>
          <w:numId w:val="2"/>
        </w:numPr>
        <w:ind w:left="720" w:hanging="360"/>
        <w:jc w:val="both"/>
        <w:rPr>
          <w:sz w:val="24"/>
          <w:szCs w:val="24"/>
        </w:rPr>
      </w:pPr>
      <w:r w:rsidRPr="00AD7559">
        <w:rPr>
          <w:sz w:val="24"/>
          <w:szCs w:val="24"/>
        </w:rPr>
        <w:t>The unit is subject to an emission limitation or standard for a regulated air pollutant other than exem</w:t>
      </w:r>
      <w:r>
        <w:rPr>
          <w:sz w:val="24"/>
          <w:szCs w:val="24"/>
        </w:rPr>
        <w:t>ptions under 40 CFR 64.2(b)(1);</w:t>
      </w:r>
    </w:p>
    <w:p w14:paraId="6E139A89" w14:textId="77777777" w:rsidR="005205F6" w:rsidRPr="00AD7559" w:rsidRDefault="005205F6" w:rsidP="005205F6">
      <w:pPr>
        <w:ind w:left="720"/>
        <w:jc w:val="both"/>
        <w:rPr>
          <w:sz w:val="24"/>
          <w:szCs w:val="24"/>
        </w:rPr>
      </w:pPr>
    </w:p>
    <w:p w14:paraId="748DDD15" w14:textId="42C22947" w:rsidR="00AD7559" w:rsidRDefault="00AD7559" w:rsidP="00104CE2">
      <w:pPr>
        <w:numPr>
          <w:ilvl w:val="0"/>
          <w:numId w:val="2"/>
        </w:numPr>
        <w:ind w:left="720" w:hanging="360"/>
        <w:jc w:val="both"/>
        <w:rPr>
          <w:sz w:val="24"/>
          <w:szCs w:val="24"/>
        </w:rPr>
      </w:pPr>
      <w:r w:rsidRPr="00AD7559">
        <w:rPr>
          <w:sz w:val="24"/>
          <w:szCs w:val="24"/>
        </w:rPr>
        <w:t xml:space="preserve">The unit uses a control device to </w:t>
      </w:r>
      <w:r>
        <w:rPr>
          <w:sz w:val="24"/>
          <w:szCs w:val="24"/>
        </w:rPr>
        <w:t>comply with</w:t>
      </w:r>
      <w:r w:rsidRPr="00AD7559">
        <w:rPr>
          <w:sz w:val="24"/>
          <w:szCs w:val="24"/>
        </w:rPr>
        <w:t xml:space="preserve"> the standard</w:t>
      </w:r>
      <w:r>
        <w:rPr>
          <w:sz w:val="24"/>
          <w:szCs w:val="24"/>
        </w:rPr>
        <w:t>;</w:t>
      </w:r>
      <w:r w:rsidRPr="00AD7559">
        <w:rPr>
          <w:sz w:val="24"/>
          <w:szCs w:val="24"/>
        </w:rPr>
        <w:t xml:space="preserve"> and</w:t>
      </w:r>
    </w:p>
    <w:p w14:paraId="2DB66003" w14:textId="77777777" w:rsidR="005205F6" w:rsidRPr="00AD7559" w:rsidRDefault="005205F6" w:rsidP="005205F6">
      <w:pPr>
        <w:ind w:left="720"/>
        <w:jc w:val="both"/>
        <w:rPr>
          <w:sz w:val="24"/>
          <w:szCs w:val="24"/>
        </w:rPr>
      </w:pPr>
    </w:p>
    <w:p w14:paraId="016774D4" w14:textId="77777777" w:rsidR="00AD7559" w:rsidRPr="00AD7559" w:rsidRDefault="00AD7559" w:rsidP="00104CE2">
      <w:pPr>
        <w:numPr>
          <w:ilvl w:val="0"/>
          <w:numId w:val="2"/>
        </w:numPr>
        <w:ind w:left="720" w:hanging="360"/>
        <w:jc w:val="both"/>
        <w:rPr>
          <w:sz w:val="24"/>
          <w:szCs w:val="24"/>
        </w:rPr>
      </w:pPr>
      <w:r w:rsidRPr="00AD7559">
        <w:rPr>
          <w:sz w:val="24"/>
          <w:szCs w:val="24"/>
        </w:rPr>
        <w:t xml:space="preserve">The unit has pre-control emissions exceeding </w:t>
      </w:r>
      <w:r w:rsidR="00C72133">
        <w:rPr>
          <w:sz w:val="24"/>
          <w:szCs w:val="24"/>
        </w:rPr>
        <w:t>Title V major source threshold</w:t>
      </w:r>
      <w:r w:rsidRPr="00AD7559">
        <w:rPr>
          <w:sz w:val="24"/>
          <w:szCs w:val="24"/>
        </w:rPr>
        <w:t>.</w:t>
      </w:r>
    </w:p>
    <w:p w14:paraId="78F9A8C7" w14:textId="77777777" w:rsidR="00AD7559" w:rsidRPr="00AD7559" w:rsidRDefault="00AD7559" w:rsidP="00104CE2">
      <w:pPr>
        <w:jc w:val="both"/>
        <w:rPr>
          <w:sz w:val="24"/>
          <w:szCs w:val="24"/>
        </w:rPr>
      </w:pPr>
    </w:p>
    <w:tbl>
      <w:tblPr>
        <w:tblStyle w:val="TableGrid"/>
        <w:tblW w:w="10975" w:type="dxa"/>
        <w:jc w:val="center"/>
        <w:tblLook w:val="04A0" w:firstRow="1" w:lastRow="0" w:firstColumn="1" w:lastColumn="0" w:noHBand="0" w:noVBand="1"/>
      </w:tblPr>
      <w:tblGrid>
        <w:gridCol w:w="995"/>
        <w:gridCol w:w="1700"/>
        <w:gridCol w:w="2070"/>
        <w:gridCol w:w="1163"/>
        <w:gridCol w:w="1259"/>
        <w:gridCol w:w="1268"/>
        <w:gridCol w:w="1080"/>
        <w:gridCol w:w="1440"/>
      </w:tblGrid>
      <w:tr w:rsidR="00306CF5" w:rsidRPr="006E74C7" w14:paraId="02C6C942" w14:textId="77777777" w:rsidTr="008A426E">
        <w:trPr>
          <w:tblHeader/>
          <w:jc w:val="center"/>
        </w:trPr>
        <w:tc>
          <w:tcPr>
            <w:tcW w:w="995" w:type="dxa"/>
            <w:shd w:val="clear" w:color="auto" w:fill="D9D9D9" w:themeFill="background1" w:themeFillShade="D9"/>
            <w:vAlign w:val="center"/>
          </w:tcPr>
          <w:p w14:paraId="5A2B9A1D" w14:textId="77777777" w:rsidR="00306CF5" w:rsidRPr="00D71411" w:rsidRDefault="00306CF5" w:rsidP="009A2D73">
            <w:pPr>
              <w:keepNext/>
              <w:keepLines/>
              <w:spacing w:before="60" w:after="60"/>
              <w:jc w:val="center"/>
              <w:rPr>
                <w:b/>
                <w:sz w:val="19"/>
                <w:szCs w:val="19"/>
              </w:rPr>
            </w:pPr>
            <w:r w:rsidRPr="00D71411">
              <w:rPr>
                <w:b/>
                <w:sz w:val="19"/>
                <w:szCs w:val="19"/>
              </w:rPr>
              <w:lastRenderedPageBreak/>
              <w:t>Emission Point ID</w:t>
            </w:r>
          </w:p>
        </w:tc>
        <w:tc>
          <w:tcPr>
            <w:tcW w:w="1700" w:type="dxa"/>
            <w:shd w:val="clear" w:color="auto" w:fill="D9D9D9" w:themeFill="background1" w:themeFillShade="D9"/>
            <w:vAlign w:val="center"/>
          </w:tcPr>
          <w:p w14:paraId="55C42965" w14:textId="77777777" w:rsidR="00306CF5" w:rsidRPr="00D71411" w:rsidRDefault="00306CF5" w:rsidP="009A2D73">
            <w:pPr>
              <w:keepNext/>
              <w:keepLines/>
              <w:spacing w:before="60"/>
              <w:jc w:val="center"/>
              <w:rPr>
                <w:b/>
                <w:sz w:val="19"/>
                <w:szCs w:val="19"/>
              </w:rPr>
            </w:pPr>
            <w:r w:rsidRPr="00D71411">
              <w:rPr>
                <w:b/>
                <w:sz w:val="19"/>
                <w:szCs w:val="19"/>
              </w:rPr>
              <w:t xml:space="preserve">Control Device </w:t>
            </w:r>
          </w:p>
          <w:p w14:paraId="6174DFE1" w14:textId="77777777" w:rsidR="00306CF5" w:rsidRPr="00D71411" w:rsidRDefault="00306CF5" w:rsidP="009A2D73">
            <w:pPr>
              <w:keepNext/>
              <w:keepLines/>
              <w:spacing w:after="60"/>
              <w:jc w:val="center"/>
              <w:rPr>
                <w:b/>
                <w:sz w:val="19"/>
                <w:szCs w:val="19"/>
              </w:rPr>
            </w:pPr>
            <w:r w:rsidRPr="00D71411">
              <w:rPr>
                <w:b/>
                <w:sz w:val="19"/>
                <w:szCs w:val="19"/>
              </w:rPr>
              <w:t>(not including inherent controls)</w:t>
            </w:r>
          </w:p>
        </w:tc>
        <w:tc>
          <w:tcPr>
            <w:tcW w:w="2070" w:type="dxa"/>
            <w:shd w:val="clear" w:color="auto" w:fill="D9D9D9" w:themeFill="background1" w:themeFillShade="D9"/>
            <w:vAlign w:val="center"/>
          </w:tcPr>
          <w:p w14:paraId="5BBDB2EC" w14:textId="138DE000" w:rsidR="00306CF5" w:rsidRPr="00D71411" w:rsidRDefault="00306CF5" w:rsidP="009A2D73">
            <w:pPr>
              <w:keepNext/>
              <w:keepLines/>
              <w:spacing w:before="60" w:after="60"/>
              <w:jc w:val="center"/>
              <w:rPr>
                <w:b/>
                <w:sz w:val="19"/>
                <w:szCs w:val="19"/>
              </w:rPr>
            </w:pPr>
            <w:r w:rsidRPr="00D71411">
              <w:rPr>
                <w:b/>
                <w:sz w:val="19"/>
                <w:szCs w:val="19"/>
              </w:rPr>
              <w:t>Applicable Limit / Standard</w:t>
            </w:r>
          </w:p>
        </w:tc>
        <w:tc>
          <w:tcPr>
            <w:tcW w:w="1163" w:type="dxa"/>
            <w:shd w:val="clear" w:color="auto" w:fill="D9D9D9" w:themeFill="background1" w:themeFillShade="D9"/>
            <w:vAlign w:val="center"/>
          </w:tcPr>
          <w:p w14:paraId="1785EF10" w14:textId="77777777" w:rsidR="00306CF5" w:rsidRPr="00D71411" w:rsidRDefault="00306CF5" w:rsidP="009A2D73">
            <w:pPr>
              <w:keepNext/>
              <w:keepLines/>
              <w:spacing w:before="60" w:after="60"/>
              <w:jc w:val="center"/>
              <w:rPr>
                <w:b/>
                <w:sz w:val="19"/>
                <w:szCs w:val="19"/>
              </w:rPr>
            </w:pPr>
            <w:r w:rsidRPr="00D71411">
              <w:rPr>
                <w:b/>
                <w:sz w:val="19"/>
                <w:szCs w:val="19"/>
              </w:rPr>
              <w:t>Is standard exempt? (Yes/No)</w:t>
            </w:r>
          </w:p>
        </w:tc>
        <w:tc>
          <w:tcPr>
            <w:tcW w:w="1259" w:type="dxa"/>
            <w:shd w:val="clear" w:color="auto" w:fill="D9D9D9" w:themeFill="background1" w:themeFillShade="D9"/>
            <w:vAlign w:val="center"/>
          </w:tcPr>
          <w:p w14:paraId="0830FECD" w14:textId="4553B04F" w:rsidR="00306CF5" w:rsidRPr="00D71411" w:rsidRDefault="00306CF5" w:rsidP="009A2D73">
            <w:pPr>
              <w:keepNext/>
              <w:keepLines/>
              <w:spacing w:before="60" w:after="60"/>
              <w:jc w:val="center"/>
              <w:rPr>
                <w:b/>
                <w:sz w:val="19"/>
                <w:szCs w:val="19"/>
              </w:rPr>
            </w:pPr>
            <w:r w:rsidRPr="00D71411">
              <w:rPr>
                <w:b/>
                <w:sz w:val="19"/>
                <w:szCs w:val="19"/>
              </w:rPr>
              <w:t>Pre-Control &gt; 100 tpy (Yes</w:t>
            </w:r>
            <w:r w:rsidR="00382B1C" w:rsidRPr="00D71411">
              <w:rPr>
                <w:b/>
                <w:sz w:val="19"/>
                <w:szCs w:val="19"/>
              </w:rPr>
              <w:t xml:space="preserve"> </w:t>
            </w:r>
            <w:r w:rsidRPr="00D71411">
              <w:rPr>
                <w:b/>
                <w:sz w:val="19"/>
                <w:szCs w:val="19"/>
              </w:rPr>
              <w:t>/</w:t>
            </w:r>
            <w:r w:rsidR="00382B1C" w:rsidRPr="00D71411">
              <w:rPr>
                <w:b/>
                <w:sz w:val="19"/>
                <w:szCs w:val="19"/>
              </w:rPr>
              <w:t xml:space="preserve"> </w:t>
            </w:r>
            <w:r w:rsidRPr="00D71411">
              <w:rPr>
                <w:b/>
                <w:sz w:val="19"/>
                <w:szCs w:val="19"/>
              </w:rPr>
              <w:t>No)</w:t>
            </w:r>
          </w:p>
        </w:tc>
        <w:tc>
          <w:tcPr>
            <w:tcW w:w="1268" w:type="dxa"/>
            <w:shd w:val="clear" w:color="auto" w:fill="D9D9D9" w:themeFill="background1" w:themeFillShade="D9"/>
            <w:vAlign w:val="center"/>
          </w:tcPr>
          <w:p w14:paraId="318F1784" w14:textId="4DCFD61E" w:rsidR="00306CF5" w:rsidRPr="00D71411" w:rsidRDefault="00306CF5" w:rsidP="009A2D73">
            <w:pPr>
              <w:keepNext/>
              <w:keepLines/>
              <w:spacing w:before="60" w:after="60"/>
              <w:jc w:val="center"/>
              <w:rPr>
                <w:b/>
                <w:sz w:val="19"/>
                <w:szCs w:val="19"/>
              </w:rPr>
            </w:pPr>
            <w:r w:rsidRPr="00D71411">
              <w:rPr>
                <w:b/>
                <w:sz w:val="19"/>
                <w:szCs w:val="19"/>
              </w:rPr>
              <w:t>Post-Control &gt; 100 tpy (Yes</w:t>
            </w:r>
            <w:r w:rsidR="00382B1C" w:rsidRPr="00D71411">
              <w:rPr>
                <w:b/>
                <w:sz w:val="19"/>
                <w:szCs w:val="19"/>
              </w:rPr>
              <w:t xml:space="preserve"> </w:t>
            </w:r>
            <w:r w:rsidRPr="00D71411">
              <w:rPr>
                <w:b/>
                <w:sz w:val="19"/>
                <w:szCs w:val="19"/>
              </w:rPr>
              <w:t>/</w:t>
            </w:r>
            <w:r w:rsidR="00382B1C" w:rsidRPr="00D71411">
              <w:rPr>
                <w:b/>
                <w:sz w:val="19"/>
                <w:szCs w:val="19"/>
              </w:rPr>
              <w:t xml:space="preserve"> </w:t>
            </w:r>
            <w:r w:rsidRPr="00D71411">
              <w:rPr>
                <w:b/>
                <w:sz w:val="19"/>
                <w:szCs w:val="19"/>
              </w:rPr>
              <w:t>No)</w:t>
            </w:r>
          </w:p>
        </w:tc>
        <w:tc>
          <w:tcPr>
            <w:tcW w:w="1080" w:type="dxa"/>
            <w:shd w:val="clear" w:color="auto" w:fill="D9D9D9" w:themeFill="background1" w:themeFillShade="D9"/>
            <w:vAlign w:val="center"/>
          </w:tcPr>
          <w:p w14:paraId="5AABA49C" w14:textId="35E42E87" w:rsidR="00306CF5" w:rsidRPr="00D71411" w:rsidRDefault="00306CF5" w:rsidP="009A2D73">
            <w:pPr>
              <w:keepNext/>
              <w:keepLines/>
              <w:spacing w:before="60" w:after="60"/>
              <w:jc w:val="center"/>
              <w:rPr>
                <w:b/>
                <w:sz w:val="19"/>
                <w:szCs w:val="19"/>
              </w:rPr>
            </w:pPr>
            <w:r w:rsidRPr="00D71411">
              <w:rPr>
                <w:b/>
                <w:sz w:val="19"/>
                <w:szCs w:val="19"/>
              </w:rPr>
              <w:t xml:space="preserve">CAM </w:t>
            </w:r>
            <w:proofErr w:type="gramStart"/>
            <w:r w:rsidRPr="00D71411">
              <w:rPr>
                <w:b/>
                <w:sz w:val="19"/>
                <w:szCs w:val="19"/>
              </w:rPr>
              <w:t>Applies?</w:t>
            </w:r>
            <w:proofErr w:type="gramEnd"/>
            <w:r w:rsidRPr="00D71411">
              <w:rPr>
                <w:b/>
                <w:sz w:val="19"/>
                <w:szCs w:val="19"/>
              </w:rPr>
              <w:t xml:space="preserve"> (Yes</w:t>
            </w:r>
            <w:r w:rsidR="00382B1C" w:rsidRPr="00D71411">
              <w:rPr>
                <w:b/>
                <w:sz w:val="19"/>
                <w:szCs w:val="19"/>
              </w:rPr>
              <w:t xml:space="preserve"> </w:t>
            </w:r>
            <w:r w:rsidRPr="00D71411">
              <w:rPr>
                <w:b/>
                <w:sz w:val="19"/>
                <w:szCs w:val="19"/>
              </w:rPr>
              <w:t>/</w:t>
            </w:r>
            <w:r w:rsidR="00382B1C" w:rsidRPr="00D71411">
              <w:rPr>
                <w:b/>
                <w:sz w:val="19"/>
                <w:szCs w:val="19"/>
              </w:rPr>
              <w:t xml:space="preserve"> </w:t>
            </w:r>
            <w:r w:rsidRPr="00D71411">
              <w:rPr>
                <w:b/>
                <w:sz w:val="19"/>
                <w:szCs w:val="19"/>
              </w:rPr>
              <w:t>No)</w:t>
            </w:r>
          </w:p>
        </w:tc>
        <w:tc>
          <w:tcPr>
            <w:tcW w:w="1440" w:type="dxa"/>
            <w:shd w:val="clear" w:color="auto" w:fill="D9D9D9" w:themeFill="background1" w:themeFillShade="D9"/>
            <w:vAlign w:val="center"/>
          </w:tcPr>
          <w:p w14:paraId="05D6DFF9" w14:textId="77777777" w:rsidR="00306CF5" w:rsidRPr="00D71411" w:rsidRDefault="00306CF5" w:rsidP="009A2D73">
            <w:pPr>
              <w:keepNext/>
              <w:keepLines/>
              <w:spacing w:before="60"/>
              <w:jc w:val="center"/>
              <w:rPr>
                <w:b/>
                <w:sz w:val="19"/>
                <w:szCs w:val="19"/>
              </w:rPr>
            </w:pPr>
            <w:r w:rsidRPr="00D71411">
              <w:rPr>
                <w:b/>
                <w:sz w:val="19"/>
                <w:szCs w:val="19"/>
              </w:rPr>
              <w:t>Type of CAM PSEU</w:t>
            </w:r>
          </w:p>
          <w:p w14:paraId="1F5B0B22" w14:textId="77777777" w:rsidR="00306CF5" w:rsidRPr="00D71411" w:rsidRDefault="00306CF5" w:rsidP="009A2D73">
            <w:pPr>
              <w:keepNext/>
              <w:keepLines/>
              <w:spacing w:after="60"/>
              <w:jc w:val="center"/>
              <w:rPr>
                <w:b/>
                <w:sz w:val="19"/>
                <w:szCs w:val="19"/>
              </w:rPr>
            </w:pPr>
            <w:r w:rsidRPr="00D71411">
              <w:rPr>
                <w:b/>
                <w:sz w:val="19"/>
                <w:szCs w:val="19"/>
              </w:rPr>
              <w:t>(Large/Other)</w:t>
            </w:r>
          </w:p>
        </w:tc>
      </w:tr>
      <w:tr w:rsidR="00306CF5" w:rsidRPr="006E74C7" w14:paraId="6AEA9646" w14:textId="77777777" w:rsidTr="008A426E">
        <w:trPr>
          <w:trHeight w:val="647"/>
          <w:tblHeader/>
          <w:jc w:val="center"/>
        </w:trPr>
        <w:tc>
          <w:tcPr>
            <w:tcW w:w="995" w:type="dxa"/>
            <w:vAlign w:val="center"/>
          </w:tcPr>
          <w:p w14:paraId="1F239B68" w14:textId="70412F0A" w:rsidR="00306CF5" w:rsidRPr="008A426E" w:rsidRDefault="00D71411" w:rsidP="00D71411">
            <w:pPr>
              <w:spacing w:before="60" w:after="60"/>
              <w:jc w:val="center"/>
              <w:rPr>
                <w:sz w:val="19"/>
                <w:szCs w:val="19"/>
              </w:rPr>
            </w:pPr>
            <w:r w:rsidRPr="008A426E">
              <w:rPr>
                <w:sz w:val="19"/>
                <w:szCs w:val="19"/>
              </w:rPr>
              <w:t>AA-404</w:t>
            </w:r>
          </w:p>
        </w:tc>
        <w:tc>
          <w:tcPr>
            <w:tcW w:w="1700" w:type="dxa"/>
            <w:vAlign w:val="center"/>
          </w:tcPr>
          <w:p w14:paraId="340DA1A0" w14:textId="08F6F195" w:rsidR="00306CF5" w:rsidRPr="008A426E" w:rsidRDefault="00D71411" w:rsidP="00D71411">
            <w:pPr>
              <w:spacing w:before="60" w:after="60"/>
              <w:jc w:val="center"/>
              <w:rPr>
                <w:sz w:val="19"/>
                <w:szCs w:val="19"/>
              </w:rPr>
            </w:pPr>
            <w:r w:rsidRPr="008A426E">
              <w:rPr>
                <w:sz w:val="19"/>
                <w:szCs w:val="19"/>
              </w:rPr>
              <w:t>Regenerative Thermal Oxidizer</w:t>
            </w:r>
            <w:r w:rsidR="007F2E5C">
              <w:rPr>
                <w:sz w:val="19"/>
                <w:szCs w:val="19"/>
              </w:rPr>
              <w:t xml:space="preserve"> (RTO)</w:t>
            </w:r>
          </w:p>
        </w:tc>
        <w:tc>
          <w:tcPr>
            <w:tcW w:w="2070" w:type="dxa"/>
            <w:vAlign w:val="center"/>
          </w:tcPr>
          <w:p w14:paraId="09FE547D" w14:textId="105291D5" w:rsidR="00306CF5" w:rsidRPr="008A426E" w:rsidRDefault="00D71411" w:rsidP="00D71411">
            <w:pPr>
              <w:spacing w:before="60" w:after="60"/>
              <w:jc w:val="center"/>
              <w:rPr>
                <w:sz w:val="19"/>
                <w:szCs w:val="19"/>
              </w:rPr>
            </w:pPr>
            <w:r w:rsidRPr="008A426E">
              <w:rPr>
                <w:sz w:val="19"/>
                <w:szCs w:val="19"/>
              </w:rPr>
              <w:t>90% VOC Destruction Efficiency</w:t>
            </w:r>
          </w:p>
        </w:tc>
        <w:tc>
          <w:tcPr>
            <w:tcW w:w="1163" w:type="dxa"/>
            <w:vAlign w:val="center"/>
          </w:tcPr>
          <w:p w14:paraId="7CFBFF52" w14:textId="77777777" w:rsidR="00306CF5" w:rsidRPr="008A426E" w:rsidRDefault="00306CF5" w:rsidP="00D71411">
            <w:pPr>
              <w:spacing w:before="60" w:after="60"/>
              <w:jc w:val="center"/>
              <w:rPr>
                <w:sz w:val="19"/>
                <w:szCs w:val="19"/>
              </w:rPr>
            </w:pPr>
            <w:r w:rsidRPr="008A426E">
              <w:rPr>
                <w:sz w:val="19"/>
                <w:szCs w:val="19"/>
              </w:rPr>
              <w:t>No</w:t>
            </w:r>
          </w:p>
        </w:tc>
        <w:tc>
          <w:tcPr>
            <w:tcW w:w="1259" w:type="dxa"/>
            <w:vAlign w:val="center"/>
          </w:tcPr>
          <w:p w14:paraId="6A7EEAAB" w14:textId="69B8BB0A" w:rsidR="00306CF5" w:rsidRPr="008A426E" w:rsidRDefault="00306CF5" w:rsidP="00D71411">
            <w:pPr>
              <w:spacing w:before="60" w:after="60"/>
              <w:jc w:val="center"/>
              <w:rPr>
                <w:sz w:val="19"/>
                <w:szCs w:val="19"/>
              </w:rPr>
            </w:pPr>
            <w:r w:rsidRPr="008A426E">
              <w:rPr>
                <w:sz w:val="19"/>
                <w:szCs w:val="19"/>
              </w:rPr>
              <w:t>Yes</w:t>
            </w:r>
          </w:p>
        </w:tc>
        <w:tc>
          <w:tcPr>
            <w:tcW w:w="1268" w:type="dxa"/>
            <w:vAlign w:val="center"/>
          </w:tcPr>
          <w:p w14:paraId="009C7353" w14:textId="3DE01305" w:rsidR="00306CF5" w:rsidRPr="008A426E" w:rsidRDefault="008A426E" w:rsidP="00D71411">
            <w:pPr>
              <w:spacing w:before="60" w:after="60"/>
              <w:jc w:val="center"/>
              <w:rPr>
                <w:sz w:val="19"/>
                <w:szCs w:val="19"/>
              </w:rPr>
            </w:pPr>
            <w:r>
              <w:rPr>
                <w:sz w:val="19"/>
                <w:szCs w:val="19"/>
              </w:rPr>
              <w:t>Yes</w:t>
            </w:r>
          </w:p>
        </w:tc>
        <w:tc>
          <w:tcPr>
            <w:tcW w:w="1080" w:type="dxa"/>
            <w:vAlign w:val="center"/>
          </w:tcPr>
          <w:p w14:paraId="21FD81F5" w14:textId="77A6E7F1" w:rsidR="00306CF5" w:rsidRPr="008A426E" w:rsidRDefault="008A426E" w:rsidP="00D71411">
            <w:pPr>
              <w:spacing w:before="60" w:after="60"/>
              <w:jc w:val="center"/>
              <w:rPr>
                <w:sz w:val="19"/>
                <w:szCs w:val="19"/>
              </w:rPr>
            </w:pPr>
            <w:r>
              <w:rPr>
                <w:sz w:val="19"/>
                <w:szCs w:val="19"/>
              </w:rPr>
              <w:t>Yes</w:t>
            </w:r>
          </w:p>
        </w:tc>
        <w:tc>
          <w:tcPr>
            <w:tcW w:w="1440" w:type="dxa"/>
            <w:vAlign w:val="center"/>
          </w:tcPr>
          <w:p w14:paraId="156F53B2" w14:textId="68B1C9F5" w:rsidR="00306CF5" w:rsidRPr="008A426E" w:rsidRDefault="00306CF5" w:rsidP="00D71411">
            <w:pPr>
              <w:spacing w:before="60" w:after="60"/>
              <w:jc w:val="center"/>
              <w:rPr>
                <w:sz w:val="19"/>
                <w:szCs w:val="19"/>
              </w:rPr>
            </w:pPr>
            <w:r w:rsidRPr="008A426E">
              <w:rPr>
                <w:sz w:val="19"/>
                <w:szCs w:val="19"/>
              </w:rPr>
              <w:t>Large</w:t>
            </w:r>
          </w:p>
        </w:tc>
      </w:tr>
      <w:tr w:rsidR="00306CF5" w:rsidRPr="006E74C7" w14:paraId="2BA323F7" w14:textId="77777777" w:rsidTr="0093200A">
        <w:trPr>
          <w:trHeight w:val="1025"/>
          <w:tblHeader/>
          <w:jc w:val="center"/>
        </w:trPr>
        <w:tc>
          <w:tcPr>
            <w:tcW w:w="995" w:type="dxa"/>
            <w:vAlign w:val="center"/>
          </w:tcPr>
          <w:p w14:paraId="4493E7A0" w14:textId="0EBB972D" w:rsidR="00306CF5" w:rsidRPr="008A426E" w:rsidRDefault="00306CF5" w:rsidP="00D71411">
            <w:pPr>
              <w:spacing w:before="60" w:after="60"/>
              <w:jc w:val="center"/>
              <w:rPr>
                <w:sz w:val="19"/>
                <w:szCs w:val="19"/>
              </w:rPr>
            </w:pPr>
            <w:r w:rsidRPr="008A426E">
              <w:rPr>
                <w:sz w:val="19"/>
                <w:szCs w:val="19"/>
              </w:rPr>
              <w:t>AA-</w:t>
            </w:r>
            <w:r w:rsidR="00D71411" w:rsidRPr="008A426E">
              <w:rPr>
                <w:sz w:val="19"/>
                <w:szCs w:val="19"/>
              </w:rPr>
              <w:t>700</w:t>
            </w:r>
          </w:p>
        </w:tc>
        <w:tc>
          <w:tcPr>
            <w:tcW w:w="1700" w:type="dxa"/>
            <w:vAlign w:val="center"/>
          </w:tcPr>
          <w:p w14:paraId="7929CA0D" w14:textId="78422F4F" w:rsidR="00306CF5" w:rsidRPr="008A426E" w:rsidRDefault="00D71411" w:rsidP="00D71411">
            <w:pPr>
              <w:spacing w:before="60" w:after="60"/>
              <w:jc w:val="center"/>
              <w:rPr>
                <w:sz w:val="19"/>
                <w:szCs w:val="19"/>
              </w:rPr>
            </w:pPr>
            <w:r w:rsidRPr="008A426E">
              <w:rPr>
                <w:sz w:val="19"/>
                <w:szCs w:val="19"/>
              </w:rPr>
              <w:t>Dry Electrostatic Precipitator</w:t>
            </w:r>
            <w:r w:rsidR="007F2E5C">
              <w:rPr>
                <w:sz w:val="19"/>
                <w:szCs w:val="19"/>
              </w:rPr>
              <w:t xml:space="preserve"> (ESP)</w:t>
            </w:r>
          </w:p>
        </w:tc>
        <w:tc>
          <w:tcPr>
            <w:tcW w:w="2070" w:type="dxa"/>
            <w:vAlign w:val="center"/>
          </w:tcPr>
          <w:p w14:paraId="7F46438C" w14:textId="77777777" w:rsidR="00D71411" w:rsidRPr="008A426E" w:rsidRDefault="00D71411" w:rsidP="00D71411">
            <w:pPr>
              <w:pStyle w:val="NoSpacing"/>
              <w:jc w:val="center"/>
            </w:pPr>
            <w:r w:rsidRPr="008A426E">
              <w:t>122.8 lbs. / hour;</w:t>
            </w:r>
          </w:p>
          <w:p w14:paraId="459A41CD" w14:textId="77777777" w:rsidR="00D71411" w:rsidRPr="008A426E" w:rsidRDefault="00D71411" w:rsidP="00D71411">
            <w:pPr>
              <w:pStyle w:val="NoSpacing"/>
              <w:jc w:val="center"/>
              <w:rPr>
                <w:sz w:val="10"/>
                <w:szCs w:val="10"/>
              </w:rPr>
            </w:pPr>
          </w:p>
          <w:p w14:paraId="14A62792" w14:textId="77777777" w:rsidR="00306CF5" w:rsidRPr="008A426E" w:rsidRDefault="00D71411" w:rsidP="00D71411">
            <w:pPr>
              <w:pStyle w:val="NoSpacing"/>
              <w:jc w:val="center"/>
            </w:pPr>
            <w:r w:rsidRPr="008A426E">
              <w:t>537.9 tpy</w:t>
            </w:r>
          </w:p>
          <w:p w14:paraId="37CD967D" w14:textId="77777777" w:rsidR="00D71411" w:rsidRPr="008A426E" w:rsidRDefault="00D71411" w:rsidP="00D71411">
            <w:pPr>
              <w:pStyle w:val="NoSpacing"/>
              <w:jc w:val="center"/>
              <w:rPr>
                <w:sz w:val="10"/>
                <w:szCs w:val="10"/>
              </w:rPr>
            </w:pPr>
          </w:p>
          <w:p w14:paraId="53394843" w14:textId="732E48F5" w:rsidR="00D71411" w:rsidRPr="008A426E" w:rsidRDefault="00D71411" w:rsidP="00D71411">
            <w:pPr>
              <w:pStyle w:val="NoSpacing"/>
              <w:jc w:val="center"/>
              <w:rPr>
                <w:sz w:val="19"/>
                <w:szCs w:val="19"/>
              </w:rPr>
            </w:pPr>
            <w:r w:rsidRPr="008A426E">
              <w:rPr>
                <w:sz w:val="19"/>
                <w:szCs w:val="19"/>
              </w:rPr>
              <w:t>(PM / PM</w:t>
            </w:r>
            <w:r w:rsidRPr="008A426E">
              <w:rPr>
                <w:sz w:val="19"/>
                <w:szCs w:val="19"/>
                <w:vertAlign w:val="subscript"/>
              </w:rPr>
              <w:t>10</w:t>
            </w:r>
            <w:r w:rsidRPr="008A426E">
              <w:rPr>
                <w:sz w:val="19"/>
                <w:szCs w:val="19"/>
              </w:rPr>
              <w:t xml:space="preserve"> Combined)</w:t>
            </w:r>
          </w:p>
        </w:tc>
        <w:tc>
          <w:tcPr>
            <w:tcW w:w="1163" w:type="dxa"/>
            <w:vAlign w:val="center"/>
          </w:tcPr>
          <w:p w14:paraId="57960FC6" w14:textId="77777777" w:rsidR="00306CF5" w:rsidRPr="008A426E" w:rsidRDefault="00306CF5" w:rsidP="00D71411">
            <w:pPr>
              <w:spacing w:before="60" w:after="60"/>
              <w:jc w:val="center"/>
              <w:rPr>
                <w:sz w:val="19"/>
                <w:szCs w:val="19"/>
              </w:rPr>
            </w:pPr>
            <w:r w:rsidRPr="008A426E">
              <w:rPr>
                <w:sz w:val="19"/>
                <w:szCs w:val="19"/>
              </w:rPr>
              <w:t>No</w:t>
            </w:r>
          </w:p>
        </w:tc>
        <w:tc>
          <w:tcPr>
            <w:tcW w:w="1259" w:type="dxa"/>
            <w:vAlign w:val="center"/>
          </w:tcPr>
          <w:p w14:paraId="32E80C2D" w14:textId="77777777" w:rsidR="00306CF5" w:rsidRPr="008A426E" w:rsidRDefault="00306CF5" w:rsidP="00D71411">
            <w:pPr>
              <w:spacing w:before="60" w:after="60"/>
              <w:jc w:val="center"/>
              <w:rPr>
                <w:sz w:val="19"/>
                <w:szCs w:val="19"/>
              </w:rPr>
            </w:pPr>
            <w:r w:rsidRPr="008A426E">
              <w:rPr>
                <w:sz w:val="19"/>
                <w:szCs w:val="19"/>
              </w:rPr>
              <w:t>Yes</w:t>
            </w:r>
          </w:p>
        </w:tc>
        <w:tc>
          <w:tcPr>
            <w:tcW w:w="1268" w:type="dxa"/>
            <w:vAlign w:val="center"/>
          </w:tcPr>
          <w:p w14:paraId="760541DE" w14:textId="276D810F" w:rsidR="00306CF5" w:rsidRPr="008A426E" w:rsidRDefault="008A426E" w:rsidP="00D71411">
            <w:pPr>
              <w:spacing w:before="60" w:after="60"/>
              <w:jc w:val="center"/>
              <w:rPr>
                <w:sz w:val="19"/>
                <w:szCs w:val="19"/>
              </w:rPr>
            </w:pPr>
            <w:r>
              <w:rPr>
                <w:sz w:val="19"/>
                <w:szCs w:val="19"/>
              </w:rPr>
              <w:t>Yes</w:t>
            </w:r>
          </w:p>
        </w:tc>
        <w:tc>
          <w:tcPr>
            <w:tcW w:w="1080" w:type="dxa"/>
            <w:vAlign w:val="center"/>
          </w:tcPr>
          <w:p w14:paraId="0B27EDBF" w14:textId="0D00E2B0" w:rsidR="00306CF5" w:rsidRPr="008A426E" w:rsidRDefault="00306CF5" w:rsidP="00D71411">
            <w:pPr>
              <w:spacing w:before="60" w:after="60"/>
              <w:jc w:val="center"/>
              <w:rPr>
                <w:sz w:val="19"/>
                <w:szCs w:val="19"/>
              </w:rPr>
            </w:pPr>
            <w:r w:rsidRPr="008A426E">
              <w:rPr>
                <w:sz w:val="19"/>
                <w:szCs w:val="19"/>
              </w:rPr>
              <w:t>Yes</w:t>
            </w:r>
          </w:p>
        </w:tc>
        <w:tc>
          <w:tcPr>
            <w:tcW w:w="1440" w:type="dxa"/>
            <w:vAlign w:val="center"/>
          </w:tcPr>
          <w:p w14:paraId="15D8723C" w14:textId="58A84D20" w:rsidR="00306CF5" w:rsidRPr="008A426E" w:rsidRDefault="00306CF5" w:rsidP="00D71411">
            <w:pPr>
              <w:spacing w:before="60" w:after="60"/>
              <w:jc w:val="center"/>
              <w:rPr>
                <w:sz w:val="19"/>
                <w:szCs w:val="19"/>
              </w:rPr>
            </w:pPr>
            <w:r w:rsidRPr="008A426E">
              <w:rPr>
                <w:sz w:val="19"/>
                <w:szCs w:val="19"/>
              </w:rPr>
              <w:t>Large</w:t>
            </w:r>
          </w:p>
        </w:tc>
      </w:tr>
    </w:tbl>
    <w:p w14:paraId="1CCCCA3D" w14:textId="7858ED85" w:rsidR="00531513" w:rsidRPr="001549F8" w:rsidRDefault="00531513" w:rsidP="00104CE2">
      <w:pPr>
        <w:jc w:val="both"/>
        <w:rPr>
          <w:color w:val="000000" w:themeColor="text1"/>
          <w:sz w:val="24"/>
          <w:szCs w:val="24"/>
        </w:rPr>
      </w:pPr>
    </w:p>
    <w:p w14:paraId="1BC4A2F1" w14:textId="3FD32592" w:rsidR="008A426E" w:rsidRDefault="00323665" w:rsidP="001549F8">
      <w:pPr>
        <w:spacing w:after="120"/>
        <w:jc w:val="both"/>
        <w:rPr>
          <w:sz w:val="24"/>
          <w:szCs w:val="24"/>
        </w:rPr>
      </w:pPr>
      <w:r>
        <w:rPr>
          <w:sz w:val="24"/>
          <w:szCs w:val="24"/>
        </w:rPr>
        <w:t>Because</w:t>
      </w:r>
      <w:r w:rsidR="007A66A3">
        <w:rPr>
          <w:sz w:val="24"/>
          <w:szCs w:val="24"/>
        </w:rPr>
        <w:t xml:space="preserve"> the noted emission sources subject to CAM, </w:t>
      </w:r>
      <w:r>
        <w:rPr>
          <w:sz w:val="24"/>
          <w:szCs w:val="24"/>
        </w:rPr>
        <w:t xml:space="preserve">the applicable CAM requirements </w:t>
      </w:r>
      <w:proofErr w:type="gramStart"/>
      <w:r>
        <w:rPr>
          <w:sz w:val="24"/>
          <w:szCs w:val="24"/>
        </w:rPr>
        <w:t>will be incorporated</w:t>
      </w:r>
      <w:proofErr w:type="gramEnd"/>
      <w:r>
        <w:rPr>
          <w:sz w:val="24"/>
          <w:szCs w:val="24"/>
        </w:rPr>
        <w:t xml:space="preserve"> into the draft permit [specifically for the continuous monitoring of the combustion chamber temperature for the RTO and the continuous monitoring of opacity for the ESP [analyzed via a continuous opacity monitoring system (COMS)]</w:t>
      </w:r>
      <w:r w:rsidR="007F2E5C">
        <w:rPr>
          <w:sz w:val="24"/>
          <w:szCs w:val="24"/>
        </w:rPr>
        <w:t>.</w:t>
      </w:r>
    </w:p>
    <w:p w14:paraId="5ABDCB0F" w14:textId="77777777" w:rsidR="007F2E5C" w:rsidRPr="007F2E5C" w:rsidRDefault="007F2E5C" w:rsidP="001549F8">
      <w:pPr>
        <w:spacing w:after="120"/>
        <w:jc w:val="both"/>
        <w:rPr>
          <w:sz w:val="24"/>
          <w:szCs w:val="24"/>
        </w:rPr>
      </w:pPr>
    </w:p>
    <w:p w14:paraId="37C7C766" w14:textId="06879DFD" w:rsidR="00531513" w:rsidRDefault="00AE4F70" w:rsidP="001549F8">
      <w:pPr>
        <w:spacing w:after="120"/>
        <w:jc w:val="both"/>
        <w:rPr>
          <w:sz w:val="24"/>
          <w:szCs w:val="24"/>
        </w:rPr>
      </w:pPr>
      <w:r>
        <w:rPr>
          <w:sz w:val="24"/>
          <w:szCs w:val="24"/>
          <w:u w:val="single"/>
        </w:rPr>
        <w:t xml:space="preserve">NATIONAL EMISSION STANDARDS FOR HAZARDOUS AIR POLLUTANTS (NESHAP) </w:t>
      </w:r>
      <w:r w:rsidR="00531513">
        <w:rPr>
          <w:sz w:val="24"/>
          <w:szCs w:val="24"/>
          <w:u w:val="single"/>
        </w:rPr>
        <w:t>APPLICABILITY</w:t>
      </w:r>
    </w:p>
    <w:p w14:paraId="06396F65" w14:textId="62F10A94" w:rsidR="00531513" w:rsidRPr="00F273AE" w:rsidRDefault="001549F8" w:rsidP="005205F6">
      <w:pPr>
        <w:numPr>
          <w:ilvl w:val="0"/>
          <w:numId w:val="5"/>
        </w:numPr>
        <w:ind w:left="360"/>
        <w:jc w:val="both"/>
        <w:rPr>
          <w:color w:val="000000" w:themeColor="text1"/>
          <w:sz w:val="24"/>
          <w:szCs w:val="24"/>
        </w:rPr>
      </w:pPr>
      <w:r w:rsidRPr="00F273AE">
        <w:rPr>
          <w:b/>
          <w:bCs/>
          <w:color w:val="000000" w:themeColor="text1"/>
          <w:sz w:val="24"/>
          <w:szCs w:val="24"/>
        </w:rPr>
        <w:t>40 CFR</w:t>
      </w:r>
      <w:r w:rsidR="00FC047D">
        <w:rPr>
          <w:b/>
          <w:bCs/>
          <w:color w:val="000000" w:themeColor="text1"/>
          <w:sz w:val="24"/>
          <w:szCs w:val="24"/>
        </w:rPr>
        <w:t xml:space="preserve"> Part</w:t>
      </w:r>
      <w:r w:rsidRPr="00F273AE">
        <w:rPr>
          <w:b/>
          <w:bCs/>
          <w:color w:val="000000" w:themeColor="text1"/>
          <w:sz w:val="24"/>
          <w:szCs w:val="24"/>
        </w:rPr>
        <w:t xml:space="preserve"> 63, </w:t>
      </w:r>
      <w:r w:rsidR="005205F6">
        <w:rPr>
          <w:b/>
          <w:bCs/>
          <w:color w:val="000000" w:themeColor="text1"/>
          <w:sz w:val="24"/>
          <w:szCs w:val="24"/>
        </w:rPr>
        <w:t xml:space="preserve">Subpart DDDD – </w:t>
      </w:r>
      <w:r w:rsidRPr="00F273AE">
        <w:rPr>
          <w:b/>
          <w:bCs/>
          <w:color w:val="000000" w:themeColor="text1"/>
          <w:sz w:val="24"/>
          <w:szCs w:val="24"/>
        </w:rPr>
        <w:t>NESHAP for Plywood and Composite Wood Products</w:t>
      </w:r>
      <w:r w:rsidRPr="00F273AE">
        <w:rPr>
          <w:color w:val="000000" w:themeColor="text1"/>
          <w:sz w:val="24"/>
          <w:szCs w:val="24"/>
        </w:rPr>
        <w:t xml:space="preserve"> </w:t>
      </w:r>
      <w:r w:rsidR="005205F6">
        <w:rPr>
          <w:color w:val="000000" w:themeColor="text1"/>
          <w:sz w:val="24"/>
          <w:szCs w:val="24"/>
        </w:rPr>
        <w:t>–</w:t>
      </w:r>
      <w:r w:rsidRPr="00F273AE">
        <w:rPr>
          <w:color w:val="000000" w:themeColor="text1"/>
          <w:sz w:val="24"/>
          <w:szCs w:val="24"/>
        </w:rPr>
        <w:t xml:space="preserve"> The provisions of Subpart DDDD are applicable to plywood and composite wood products manufacturing facilities located at a major source of HAP emissions.  The facility is </w:t>
      </w:r>
      <w:r w:rsidR="008967E4" w:rsidRPr="00F273AE">
        <w:rPr>
          <w:color w:val="000000" w:themeColor="text1"/>
          <w:sz w:val="24"/>
          <w:szCs w:val="24"/>
        </w:rPr>
        <w:t xml:space="preserve">a plywood and composite wood products manufacturing facility and </w:t>
      </w:r>
      <w:proofErr w:type="gramStart"/>
      <w:r w:rsidR="008967E4" w:rsidRPr="00F273AE">
        <w:rPr>
          <w:color w:val="000000" w:themeColor="text1"/>
          <w:sz w:val="24"/>
          <w:szCs w:val="24"/>
        </w:rPr>
        <w:t>is considered</w:t>
      </w:r>
      <w:proofErr w:type="gramEnd"/>
      <w:r w:rsidR="008967E4" w:rsidRPr="00F273AE">
        <w:rPr>
          <w:color w:val="000000" w:themeColor="text1"/>
          <w:sz w:val="24"/>
          <w:szCs w:val="24"/>
        </w:rPr>
        <w:t xml:space="preserve"> a major source of HAP emissions; therefore, the provisions of Subpart DDDD are applicable to operations at the facility.  The facility has softwood plywood presses and lumber kilns that are considered affected sources; however, there are no applicable requirements.  The applicable requirements of Subpart DDDD for the veneer dryers and Group 1 Miscellaneous Coatings are included in the proposed permit.</w:t>
      </w:r>
    </w:p>
    <w:p w14:paraId="64733946" w14:textId="5929C5A1" w:rsidR="008967E4" w:rsidRPr="00F273AE" w:rsidRDefault="008967E4" w:rsidP="005205F6">
      <w:pPr>
        <w:numPr>
          <w:ilvl w:val="0"/>
          <w:numId w:val="5"/>
        </w:numPr>
        <w:spacing w:before="120"/>
        <w:ind w:left="360"/>
        <w:jc w:val="both"/>
        <w:rPr>
          <w:color w:val="000000" w:themeColor="text1"/>
          <w:sz w:val="24"/>
          <w:szCs w:val="24"/>
        </w:rPr>
      </w:pPr>
      <w:r w:rsidRPr="00F273AE">
        <w:rPr>
          <w:b/>
          <w:bCs/>
          <w:color w:val="000000" w:themeColor="text1"/>
          <w:sz w:val="24"/>
          <w:szCs w:val="24"/>
        </w:rPr>
        <w:t xml:space="preserve">40 CFR </w:t>
      </w:r>
      <w:r w:rsidR="005205F6">
        <w:rPr>
          <w:b/>
          <w:bCs/>
          <w:color w:val="000000" w:themeColor="text1"/>
          <w:sz w:val="24"/>
          <w:szCs w:val="24"/>
        </w:rPr>
        <w:t xml:space="preserve">Part </w:t>
      </w:r>
      <w:r w:rsidRPr="00F273AE">
        <w:rPr>
          <w:b/>
          <w:bCs/>
          <w:color w:val="000000" w:themeColor="text1"/>
          <w:sz w:val="24"/>
          <w:szCs w:val="24"/>
        </w:rPr>
        <w:t xml:space="preserve">63, Subpart </w:t>
      </w:r>
      <w:r w:rsidR="001C1729" w:rsidRPr="00F273AE">
        <w:rPr>
          <w:b/>
          <w:bCs/>
          <w:color w:val="000000" w:themeColor="text1"/>
          <w:sz w:val="24"/>
          <w:szCs w:val="24"/>
        </w:rPr>
        <w:t>YYYY</w:t>
      </w:r>
      <w:r w:rsidR="005205F6">
        <w:rPr>
          <w:b/>
          <w:bCs/>
          <w:color w:val="000000" w:themeColor="text1"/>
          <w:sz w:val="24"/>
          <w:szCs w:val="24"/>
        </w:rPr>
        <w:t xml:space="preserve"> – </w:t>
      </w:r>
      <w:r w:rsidRPr="00F273AE">
        <w:rPr>
          <w:b/>
          <w:bCs/>
          <w:color w:val="000000" w:themeColor="text1"/>
          <w:sz w:val="24"/>
          <w:szCs w:val="24"/>
        </w:rPr>
        <w:t>NESHAP</w:t>
      </w:r>
      <w:r w:rsidR="001C1729" w:rsidRPr="00F273AE">
        <w:rPr>
          <w:b/>
          <w:bCs/>
          <w:color w:val="000000" w:themeColor="text1"/>
          <w:sz w:val="24"/>
          <w:szCs w:val="24"/>
        </w:rPr>
        <w:t xml:space="preserve"> for Stationary Combustion Turbines</w:t>
      </w:r>
      <w:r w:rsidR="001C1729" w:rsidRPr="00F273AE">
        <w:rPr>
          <w:color w:val="000000" w:themeColor="text1"/>
          <w:sz w:val="24"/>
          <w:szCs w:val="24"/>
        </w:rPr>
        <w:t xml:space="preserve"> </w:t>
      </w:r>
      <w:r w:rsidR="005205F6">
        <w:rPr>
          <w:color w:val="000000" w:themeColor="text1"/>
          <w:sz w:val="24"/>
          <w:szCs w:val="24"/>
        </w:rPr>
        <w:t>–</w:t>
      </w:r>
      <w:r w:rsidR="001C1729" w:rsidRPr="00F273AE">
        <w:rPr>
          <w:color w:val="000000" w:themeColor="text1"/>
          <w:sz w:val="24"/>
          <w:szCs w:val="24"/>
        </w:rPr>
        <w:t xml:space="preserve"> The provisions of Subpart YYYY are applicable to stationary combustion turbines located at major sources of HAP emissions.  The facility is considered a major source of HAP; however, the affected unit is considered a new, lean premix gas-fired stationary combustion turbine and per 40 CFR 63.6095(d), the affected unit is not required to comply with any other requirement of Subpart YYYY until EPA takes final action to require compliance and publishes a document in the Federal Register.</w:t>
      </w:r>
    </w:p>
    <w:p w14:paraId="33692C7D" w14:textId="374E5B41" w:rsidR="001C1729" w:rsidRPr="00F273AE" w:rsidRDefault="001C1729" w:rsidP="005205F6">
      <w:pPr>
        <w:numPr>
          <w:ilvl w:val="0"/>
          <w:numId w:val="5"/>
        </w:numPr>
        <w:spacing w:before="120"/>
        <w:ind w:left="360"/>
        <w:jc w:val="both"/>
        <w:rPr>
          <w:color w:val="000000" w:themeColor="text1"/>
          <w:sz w:val="24"/>
          <w:szCs w:val="24"/>
        </w:rPr>
      </w:pPr>
      <w:r w:rsidRPr="00F273AE">
        <w:rPr>
          <w:b/>
          <w:bCs/>
          <w:color w:val="000000" w:themeColor="text1"/>
          <w:sz w:val="24"/>
          <w:szCs w:val="24"/>
        </w:rPr>
        <w:t xml:space="preserve">40 CFR </w:t>
      </w:r>
      <w:r w:rsidR="005205F6">
        <w:rPr>
          <w:b/>
          <w:bCs/>
          <w:color w:val="000000" w:themeColor="text1"/>
          <w:sz w:val="24"/>
          <w:szCs w:val="24"/>
        </w:rPr>
        <w:t>Part 63, Subpart DDDDD –</w:t>
      </w:r>
      <w:r w:rsidRPr="00F273AE">
        <w:rPr>
          <w:b/>
          <w:bCs/>
          <w:color w:val="000000" w:themeColor="text1"/>
          <w:sz w:val="24"/>
          <w:szCs w:val="24"/>
        </w:rPr>
        <w:t xml:space="preserve"> NESHAP for Major Sources: Industrial, Commercial, and Institutional Boilers and Process Heaters</w:t>
      </w:r>
      <w:r w:rsidRPr="00F273AE">
        <w:rPr>
          <w:color w:val="000000" w:themeColor="text1"/>
          <w:sz w:val="24"/>
          <w:szCs w:val="24"/>
        </w:rPr>
        <w:t xml:space="preserve"> </w:t>
      </w:r>
      <w:r w:rsidR="005205F6">
        <w:rPr>
          <w:color w:val="000000" w:themeColor="text1"/>
          <w:sz w:val="24"/>
          <w:szCs w:val="24"/>
        </w:rPr>
        <w:t>–</w:t>
      </w:r>
      <w:r w:rsidR="00F273AE">
        <w:rPr>
          <w:color w:val="000000" w:themeColor="text1"/>
          <w:sz w:val="24"/>
          <w:szCs w:val="24"/>
        </w:rPr>
        <w:t xml:space="preserve"> </w:t>
      </w:r>
      <w:r w:rsidRPr="00F273AE">
        <w:rPr>
          <w:color w:val="000000" w:themeColor="text1"/>
          <w:sz w:val="24"/>
          <w:szCs w:val="24"/>
        </w:rPr>
        <w:t xml:space="preserve">The provisions of Subpart DDDDD are applicable to industrial, commercial, or institutional boilers or process heaters located at a major source of HAP emissions. The facility </w:t>
      </w:r>
      <w:proofErr w:type="gramStart"/>
      <w:r w:rsidRPr="00F273AE">
        <w:rPr>
          <w:color w:val="000000" w:themeColor="text1"/>
          <w:sz w:val="24"/>
          <w:szCs w:val="24"/>
        </w:rPr>
        <w:t>is considered</w:t>
      </w:r>
      <w:proofErr w:type="gramEnd"/>
      <w:r w:rsidRPr="00F273AE">
        <w:rPr>
          <w:color w:val="000000" w:themeColor="text1"/>
          <w:sz w:val="24"/>
          <w:szCs w:val="24"/>
        </w:rPr>
        <w:t xml:space="preserve"> a major source of HAP and Boiler No. 3 (Emission Point AA-700) is considered an existing boiler in the hybrid suspension/grate burners designed to burn we biomass/bio-based solid subcategory.   The applicable requirements of Subpart DDDDD have been included in the proposed permit.</w:t>
      </w:r>
    </w:p>
    <w:p w14:paraId="64DC8D20" w14:textId="7342B1DB" w:rsidR="002F6879" w:rsidRDefault="002F6879" w:rsidP="005205F6">
      <w:pPr>
        <w:numPr>
          <w:ilvl w:val="0"/>
          <w:numId w:val="5"/>
        </w:numPr>
        <w:spacing w:before="120"/>
        <w:ind w:left="360"/>
        <w:jc w:val="both"/>
        <w:rPr>
          <w:color w:val="4F81BD" w:themeColor="accent1"/>
          <w:sz w:val="24"/>
          <w:szCs w:val="24"/>
        </w:rPr>
      </w:pPr>
      <w:r w:rsidRPr="00F273AE">
        <w:rPr>
          <w:b/>
          <w:bCs/>
          <w:color w:val="000000" w:themeColor="text1"/>
          <w:sz w:val="24"/>
          <w:szCs w:val="24"/>
        </w:rPr>
        <w:t>40 CFR</w:t>
      </w:r>
      <w:r w:rsidR="005205F6">
        <w:rPr>
          <w:b/>
          <w:bCs/>
          <w:color w:val="000000" w:themeColor="text1"/>
          <w:sz w:val="24"/>
          <w:szCs w:val="24"/>
        </w:rPr>
        <w:t xml:space="preserve"> Part 63, Subpart ZZZZ – </w:t>
      </w:r>
      <w:r w:rsidRPr="00F273AE">
        <w:rPr>
          <w:b/>
          <w:bCs/>
          <w:color w:val="000000" w:themeColor="text1"/>
          <w:sz w:val="24"/>
          <w:szCs w:val="24"/>
        </w:rPr>
        <w:t>NESHAP</w:t>
      </w:r>
      <w:r>
        <w:rPr>
          <w:b/>
          <w:bCs/>
          <w:sz w:val="24"/>
          <w:szCs w:val="24"/>
        </w:rPr>
        <w:t xml:space="preserve"> for Stationary Reciprocating Internal Combustion Engines </w:t>
      </w:r>
      <w:r w:rsidR="00451D24">
        <w:rPr>
          <w:b/>
          <w:bCs/>
          <w:sz w:val="24"/>
          <w:szCs w:val="24"/>
        </w:rPr>
        <w:t>–</w:t>
      </w:r>
      <w:r>
        <w:rPr>
          <w:b/>
          <w:bCs/>
          <w:sz w:val="24"/>
          <w:szCs w:val="24"/>
        </w:rPr>
        <w:t xml:space="preserve"> </w:t>
      </w:r>
      <w:r>
        <w:rPr>
          <w:sz w:val="24"/>
          <w:szCs w:val="24"/>
        </w:rPr>
        <w:t xml:space="preserve">The provisions of Subpart ZZZZ are applicable to </w:t>
      </w:r>
      <w:r w:rsidRPr="0093223C">
        <w:rPr>
          <w:sz w:val="24"/>
          <w:szCs w:val="24"/>
        </w:rPr>
        <w:t>stationary reciprocating internal combustion engines located at area and major sources of HAP emissions.</w:t>
      </w:r>
      <w:r>
        <w:rPr>
          <w:sz w:val="24"/>
          <w:szCs w:val="24"/>
        </w:rPr>
        <w:t xml:space="preserve">  </w:t>
      </w:r>
      <w:r>
        <w:rPr>
          <w:sz w:val="24"/>
          <w:szCs w:val="24"/>
        </w:rPr>
        <w:lastRenderedPageBreak/>
        <w:t>The facility is considered a major source of HAP and has an existing, emergency engine subject to the maintenance and operating provisions of Subpart ZZZZ that have been incorporated into the proposed permit.</w:t>
      </w:r>
    </w:p>
    <w:p w14:paraId="7C1EFD08" w14:textId="77777777" w:rsidR="00AE4F70" w:rsidRDefault="00AE4F70" w:rsidP="00104CE2">
      <w:pPr>
        <w:jc w:val="both"/>
        <w:rPr>
          <w:sz w:val="24"/>
          <w:szCs w:val="24"/>
        </w:rPr>
      </w:pPr>
    </w:p>
    <w:p w14:paraId="4BDE1823" w14:textId="77777777" w:rsidR="00AE4F70" w:rsidRDefault="00AE4F70" w:rsidP="001C1729">
      <w:pPr>
        <w:spacing w:after="120"/>
        <w:jc w:val="both"/>
        <w:rPr>
          <w:sz w:val="24"/>
          <w:szCs w:val="24"/>
          <w:u w:val="single"/>
        </w:rPr>
      </w:pPr>
      <w:r>
        <w:rPr>
          <w:sz w:val="24"/>
          <w:szCs w:val="24"/>
          <w:u w:val="single"/>
        </w:rPr>
        <w:t>NEW SOURCE PERFORMANCE STANDARDS (NSPS) APPLICABILITY</w:t>
      </w:r>
    </w:p>
    <w:p w14:paraId="2250D6DA" w14:textId="496DAAE5" w:rsidR="00AE4F70" w:rsidRPr="00523BEE" w:rsidRDefault="00F273AE" w:rsidP="001C1729">
      <w:pPr>
        <w:numPr>
          <w:ilvl w:val="0"/>
          <w:numId w:val="6"/>
        </w:numPr>
        <w:jc w:val="both"/>
        <w:rPr>
          <w:color w:val="000000" w:themeColor="text1"/>
          <w:sz w:val="24"/>
          <w:szCs w:val="24"/>
        </w:rPr>
      </w:pPr>
      <w:r w:rsidRPr="00523BEE">
        <w:rPr>
          <w:b/>
          <w:bCs/>
          <w:color w:val="000000" w:themeColor="text1"/>
          <w:sz w:val="24"/>
          <w:szCs w:val="24"/>
        </w:rPr>
        <w:t xml:space="preserve">40 CFR </w:t>
      </w:r>
      <w:r w:rsidR="00FC047D">
        <w:rPr>
          <w:b/>
          <w:bCs/>
          <w:color w:val="000000" w:themeColor="text1"/>
          <w:sz w:val="24"/>
          <w:szCs w:val="24"/>
        </w:rPr>
        <w:t xml:space="preserve">Part </w:t>
      </w:r>
      <w:r w:rsidRPr="00523BEE">
        <w:rPr>
          <w:b/>
          <w:bCs/>
          <w:color w:val="000000" w:themeColor="text1"/>
          <w:sz w:val="24"/>
          <w:szCs w:val="24"/>
        </w:rPr>
        <w:t>60, Subpart D, Standards of Performance for Fossil-Fuel-Fired Steam Generators</w:t>
      </w:r>
      <w:r w:rsidRPr="00523BEE">
        <w:rPr>
          <w:color w:val="000000" w:themeColor="text1"/>
          <w:sz w:val="24"/>
          <w:szCs w:val="24"/>
        </w:rPr>
        <w:t xml:space="preserve"> </w:t>
      </w:r>
      <w:r w:rsidR="00451D24">
        <w:rPr>
          <w:color w:val="000000" w:themeColor="text1"/>
          <w:sz w:val="24"/>
          <w:szCs w:val="24"/>
        </w:rPr>
        <w:t>–</w:t>
      </w:r>
      <w:r w:rsidRPr="00523BEE">
        <w:rPr>
          <w:color w:val="000000" w:themeColor="text1"/>
          <w:sz w:val="24"/>
          <w:szCs w:val="24"/>
        </w:rPr>
        <w:t xml:space="preserve"> The provisions of Subpart D are applicable to fossil-fuel-fired</w:t>
      </w:r>
      <w:r w:rsidR="003414CF" w:rsidRPr="00523BEE">
        <w:rPr>
          <w:color w:val="000000" w:themeColor="text1"/>
          <w:sz w:val="24"/>
          <w:szCs w:val="24"/>
        </w:rPr>
        <w:t xml:space="preserve"> and fossil-fuel and wood residue fired</w:t>
      </w:r>
      <w:r w:rsidRPr="00523BEE">
        <w:rPr>
          <w:color w:val="000000" w:themeColor="text1"/>
          <w:sz w:val="24"/>
          <w:szCs w:val="24"/>
        </w:rPr>
        <w:t xml:space="preserve"> steam generating units with a heat input rate greater than 250 MMB</w:t>
      </w:r>
      <w:r w:rsidR="00A469AC">
        <w:rPr>
          <w:color w:val="000000" w:themeColor="text1"/>
          <w:sz w:val="24"/>
          <w:szCs w:val="24"/>
        </w:rPr>
        <w:t xml:space="preserve">TU </w:t>
      </w:r>
      <w:r w:rsidR="003414CF" w:rsidRPr="00523BEE">
        <w:rPr>
          <w:color w:val="000000" w:themeColor="text1"/>
          <w:sz w:val="24"/>
          <w:szCs w:val="24"/>
        </w:rPr>
        <w:t>/</w:t>
      </w:r>
      <w:r w:rsidR="00A469AC">
        <w:rPr>
          <w:color w:val="000000" w:themeColor="text1"/>
          <w:sz w:val="24"/>
          <w:szCs w:val="24"/>
        </w:rPr>
        <w:t xml:space="preserve"> </w:t>
      </w:r>
      <w:r w:rsidR="003414CF" w:rsidRPr="00523BEE">
        <w:rPr>
          <w:color w:val="000000" w:themeColor="text1"/>
          <w:sz w:val="24"/>
          <w:szCs w:val="24"/>
        </w:rPr>
        <w:t>h</w:t>
      </w:r>
      <w:r w:rsidR="00A469AC">
        <w:rPr>
          <w:color w:val="000000" w:themeColor="text1"/>
          <w:sz w:val="24"/>
          <w:szCs w:val="24"/>
        </w:rPr>
        <w:t>ou</w:t>
      </w:r>
      <w:r w:rsidR="003414CF" w:rsidRPr="00523BEE">
        <w:rPr>
          <w:color w:val="000000" w:themeColor="text1"/>
          <w:sz w:val="24"/>
          <w:szCs w:val="24"/>
        </w:rPr>
        <w:t xml:space="preserve">r that commenced construction or modification after August 17, 1971.  While the boiler </w:t>
      </w:r>
      <w:proofErr w:type="gramStart"/>
      <w:r w:rsidR="003414CF" w:rsidRPr="00523BEE">
        <w:rPr>
          <w:color w:val="000000" w:themeColor="text1"/>
          <w:sz w:val="24"/>
          <w:szCs w:val="24"/>
        </w:rPr>
        <w:t>was constructed</w:t>
      </w:r>
      <w:proofErr w:type="gramEnd"/>
      <w:r w:rsidR="003414CF" w:rsidRPr="00523BEE">
        <w:rPr>
          <w:color w:val="000000" w:themeColor="text1"/>
          <w:sz w:val="24"/>
          <w:szCs w:val="24"/>
        </w:rPr>
        <w:t xml:space="preserve"> after the applicability date (1978), the boiler is </w:t>
      </w:r>
      <w:r w:rsidR="003414CF" w:rsidRPr="00A469AC">
        <w:rPr>
          <w:b/>
          <w:color w:val="000000" w:themeColor="text1"/>
          <w:sz w:val="24"/>
          <w:szCs w:val="24"/>
          <w:u w:val="single"/>
        </w:rPr>
        <w:t>not</w:t>
      </w:r>
      <w:r w:rsidR="003414CF" w:rsidRPr="00523BEE">
        <w:rPr>
          <w:color w:val="000000" w:themeColor="text1"/>
          <w:sz w:val="24"/>
          <w:szCs w:val="24"/>
        </w:rPr>
        <w:t xml:space="preserve"> subject to the provisions of Subpart D since the heat input capacity is less than 250 MMB</w:t>
      </w:r>
      <w:r w:rsidR="00A469AC">
        <w:rPr>
          <w:color w:val="000000" w:themeColor="text1"/>
          <w:sz w:val="24"/>
          <w:szCs w:val="24"/>
        </w:rPr>
        <w:t xml:space="preserve">TU </w:t>
      </w:r>
      <w:r w:rsidR="003414CF" w:rsidRPr="00523BEE">
        <w:rPr>
          <w:color w:val="000000" w:themeColor="text1"/>
          <w:sz w:val="24"/>
          <w:szCs w:val="24"/>
        </w:rPr>
        <w:t>/</w:t>
      </w:r>
      <w:r w:rsidR="00A469AC">
        <w:rPr>
          <w:color w:val="000000" w:themeColor="text1"/>
          <w:sz w:val="24"/>
          <w:szCs w:val="24"/>
        </w:rPr>
        <w:t xml:space="preserve"> </w:t>
      </w:r>
      <w:r w:rsidR="003414CF" w:rsidRPr="00523BEE">
        <w:rPr>
          <w:color w:val="000000" w:themeColor="text1"/>
          <w:sz w:val="24"/>
          <w:szCs w:val="24"/>
        </w:rPr>
        <w:t>h</w:t>
      </w:r>
      <w:r w:rsidR="00A469AC">
        <w:rPr>
          <w:color w:val="000000" w:themeColor="text1"/>
          <w:sz w:val="24"/>
          <w:szCs w:val="24"/>
        </w:rPr>
        <w:t>ou</w:t>
      </w:r>
      <w:r w:rsidR="003414CF" w:rsidRPr="00523BEE">
        <w:rPr>
          <w:color w:val="000000" w:themeColor="text1"/>
          <w:sz w:val="24"/>
          <w:szCs w:val="24"/>
        </w:rPr>
        <w:t>r.</w:t>
      </w:r>
    </w:p>
    <w:p w14:paraId="124F1E66" w14:textId="26643534" w:rsidR="003414CF" w:rsidRPr="00523BEE" w:rsidRDefault="003414CF" w:rsidP="003414CF">
      <w:pPr>
        <w:numPr>
          <w:ilvl w:val="0"/>
          <w:numId w:val="6"/>
        </w:numPr>
        <w:spacing w:before="120"/>
        <w:jc w:val="both"/>
        <w:rPr>
          <w:color w:val="000000" w:themeColor="text1"/>
          <w:sz w:val="24"/>
          <w:szCs w:val="24"/>
        </w:rPr>
      </w:pPr>
      <w:r w:rsidRPr="00523BEE">
        <w:rPr>
          <w:b/>
          <w:bCs/>
          <w:color w:val="000000" w:themeColor="text1"/>
          <w:sz w:val="24"/>
          <w:szCs w:val="24"/>
        </w:rPr>
        <w:t xml:space="preserve">40 CFR </w:t>
      </w:r>
      <w:r w:rsidR="00FC047D">
        <w:rPr>
          <w:b/>
          <w:bCs/>
          <w:color w:val="000000" w:themeColor="text1"/>
          <w:sz w:val="24"/>
          <w:szCs w:val="24"/>
        </w:rPr>
        <w:t xml:space="preserve">Part </w:t>
      </w:r>
      <w:r w:rsidRPr="00523BEE">
        <w:rPr>
          <w:b/>
          <w:bCs/>
          <w:color w:val="000000" w:themeColor="text1"/>
          <w:sz w:val="24"/>
          <w:szCs w:val="24"/>
        </w:rPr>
        <w:t>60, Subpart Db, Standards of Performance for Industrial-Commercial-Institutional Steam Generating Units</w:t>
      </w:r>
      <w:r w:rsidRPr="00523BEE">
        <w:rPr>
          <w:color w:val="000000" w:themeColor="text1"/>
          <w:sz w:val="24"/>
          <w:szCs w:val="24"/>
        </w:rPr>
        <w:t xml:space="preserve"> </w:t>
      </w:r>
      <w:r w:rsidR="00451D24">
        <w:rPr>
          <w:color w:val="000000" w:themeColor="text1"/>
          <w:sz w:val="24"/>
          <w:szCs w:val="24"/>
        </w:rPr>
        <w:t>–</w:t>
      </w:r>
      <w:r w:rsidRPr="00523BEE">
        <w:rPr>
          <w:color w:val="000000" w:themeColor="text1"/>
          <w:sz w:val="24"/>
          <w:szCs w:val="24"/>
        </w:rPr>
        <w:t xml:space="preserve"> The provisions of Subpart Db are applicable to each steam generating unit that commences construction, modification, or reconstruction after June 19, 1984, and has a heat input</w:t>
      </w:r>
      <w:r w:rsidR="00A469AC">
        <w:rPr>
          <w:color w:val="000000" w:themeColor="text1"/>
          <w:sz w:val="24"/>
          <w:szCs w:val="24"/>
        </w:rPr>
        <w:t xml:space="preserve"> capacity greater than 100 MMBTU </w:t>
      </w:r>
      <w:r w:rsidRPr="00523BEE">
        <w:rPr>
          <w:color w:val="000000" w:themeColor="text1"/>
          <w:sz w:val="24"/>
          <w:szCs w:val="24"/>
        </w:rPr>
        <w:t>/</w:t>
      </w:r>
      <w:r w:rsidR="00A469AC">
        <w:rPr>
          <w:color w:val="000000" w:themeColor="text1"/>
          <w:sz w:val="24"/>
          <w:szCs w:val="24"/>
        </w:rPr>
        <w:t xml:space="preserve"> </w:t>
      </w:r>
      <w:r w:rsidRPr="00523BEE">
        <w:rPr>
          <w:color w:val="000000" w:themeColor="text1"/>
          <w:sz w:val="24"/>
          <w:szCs w:val="24"/>
        </w:rPr>
        <w:t>h</w:t>
      </w:r>
      <w:r w:rsidR="00A469AC">
        <w:rPr>
          <w:color w:val="000000" w:themeColor="text1"/>
          <w:sz w:val="24"/>
          <w:szCs w:val="24"/>
        </w:rPr>
        <w:t>ou</w:t>
      </w:r>
      <w:r w:rsidRPr="00523BEE">
        <w:rPr>
          <w:color w:val="000000" w:themeColor="text1"/>
          <w:sz w:val="24"/>
          <w:szCs w:val="24"/>
        </w:rPr>
        <w:t xml:space="preserve">r.  Boiler No. 3 </w:t>
      </w:r>
      <w:proofErr w:type="gramStart"/>
      <w:r w:rsidRPr="00523BEE">
        <w:rPr>
          <w:color w:val="000000" w:themeColor="text1"/>
          <w:sz w:val="24"/>
          <w:szCs w:val="24"/>
        </w:rPr>
        <w:t>was constructed</w:t>
      </w:r>
      <w:proofErr w:type="gramEnd"/>
      <w:r w:rsidRPr="00523BEE">
        <w:rPr>
          <w:color w:val="000000" w:themeColor="text1"/>
          <w:sz w:val="24"/>
          <w:szCs w:val="24"/>
        </w:rPr>
        <w:t xml:space="preserve"> in 1978 and has not </w:t>
      </w:r>
      <w:r w:rsidR="004101EA" w:rsidRPr="00523BEE">
        <w:rPr>
          <w:color w:val="000000" w:themeColor="text1"/>
          <w:sz w:val="24"/>
          <w:szCs w:val="24"/>
        </w:rPr>
        <w:t>had any modifications made to it that meet the definition of m</w:t>
      </w:r>
      <w:r w:rsidR="00E94D7A">
        <w:rPr>
          <w:color w:val="000000" w:themeColor="text1"/>
          <w:sz w:val="24"/>
          <w:szCs w:val="24"/>
        </w:rPr>
        <w:t>o</w:t>
      </w:r>
      <w:r w:rsidR="004101EA" w:rsidRPr="00523BEE">
        <w:rPr>
          <w:color w:val="000000" w:themeColor="text1"/>
          <w:sz w:val="24"/>
          <w:szCs w:val="24"/>
        </w:rPr>
        <w:t>di</w:t>
      </w:r>
      <w:r w:rsidR="00E94D7A">
        <w:rPr>
          <w:color w:val="000000" w:themeColor="text1"/>
          <w:sz w:val="24"/>
          <w:szCs w:val="24"/>
        </w:rPr>
        <w:t>fi</w:t>
      </w:r>
      <w:r w:rsidR="004101EA" w:rsidRPr="00523BEE">
        <w:rPr>
          <w:color w:val="000000" w:themeColor="text1"/>
          <w:sz w:val="24"/>
          <w:szCs w:val="24"/>
        </w:rPr>
        <w:t xml:space="preserve">cation or reconstruction.  As such, the provisions of Subpart Db are </w:t>
      </w:r>
      <w:r w:rsidR="004101EA" w:rsidRPr="00A469AC">
        <w:rPr>
          <w:b/>
          <w:color w:val="000000" w:themeColor="text1"/>
          <w:sz w:val="24"/>
          <w:szCs w:val="24"/>
          <w:u w:val="single"/>
        </w:rPr>
        <w:t>not</w:t>
      </w:r>
      <w:r w:rsidR="004101EA" w:rsidRPr="00523BEE">
        <w:rPr>
          <w:color w:val="000000" w:themeColor="text1"/>
          <w:sz w:val="24"/>
          <w:szCs w:val="24"/>
        </w:rPr>
        <w:t xml:space="preserve"> </w:t>
      </w:r>
      <w:r w:rsidR="00A469AC" w:rsidRPr="00523BEE">
        <w:rPr>
          <w:color w:val="000000" w:themeColor="text1"/>
          <w:sz w:val="24"/>
          <w:szCs w:val="24"/>
        </w:rPr>
        <w:t>applicable</w:t>
      </w:r>
      <w:r w:rsidR="004101EA" w:rsidRPr="00523BEE">
        <w:rPr>
          <w:color w:val="000000" w:themeColor="text1"/>
          <w:sz w:val="24"/>
          <w:szCs w:val="24"/>
        </w:rPr>
        <w:t xml:space="preserve"> to the boiler.</w:t>
      </w:r>
    </w:p>
    <w:p w14:paraId="004DE130" w14:textId="2F75EBEE" w:rsidR="004101EA" w:rsidRPr="00523BEE" w:rsidRDefault="00FC047D" w:rsidP="003414CF">
      <w:pPr>
        <w:numPr>
          <w:ilvl w:val="0"/>
          <w:numId w:val="6"/>
        </w:numPr>
        <w:spacing w:before="120"/>
        <w:jc w:val="both"/>
        <w:rPr>
          <w:color w:val="000000" w:themeColor="text1"/>
          <w:sz w:val="24"/>
          <w:szCs w:val="24"/>
        </w:rPr>
      </w:pPr>
      <w:r>
        <w:rPr>
          <w:b/>
          <w:bCs/>
          <w:color w:val="000000" w:themeColor="text1"/>
          <w:sz w:val="24"/>
          <w:szCs w:val="24"/>
        </w:rPr>
        <w:t xml:space="preserve">40 CFR Part 60, Subpart Dc – </w:t>
      </w:r>
      <w:r w:rsidR="004101EA" w:rsidRPr="00523BEE">
        <w:rPr>
          <w:b/>
          <w:bCs/>
          <w:color w:val="000000" w:themeColor="text1"/>
          <w:sz w:val="24"/>
          <w:szCs w:val="24"/>
        </w:rPr>
        <w:t>Standards of Performance for Small Industrial-Commercial-Institutional Steam Generating Units</w:t>
      </w:r>
      <w:r w:rsidR="004101EA" w:rsidRPr="00523BEE">
        <w:rPr>
          <w:color w:val="000000" w:themeColor="text1"/>
          <w:sz w:val="24"/>
          <w:szCs w:val="24"/>
        </w:rPr>
        <w:t xml:space="preserve"> </w:t>
      </w:r>
      <w:r w:rsidR="00451D24">
        <w:rPr>
          <w:color w:val="000000" w:themeColor="text1"/>
          <w:sz w:val="24"/>
          <w:szCs w:val="24"/>
        </w:rPr>
        <w:t>–</w:t>
      </w:r>
      <w:r w:rsidR="004101EA" w:rsidRPr="00523BEE">
        <w:rPr>
          <w:color w:val="000000" w:themeColor="text1"/>
          <w:sz w:val="24"/>
          <w:szCs w:val="24"/>
        </w:rPr>
        <w:t xml:space="preserve"> The provisions of Subpart Dc are applicable to each steam generating unit for which construction, modification, or reconstruction is commenced after June 9, 1989, and that has a maximum design heat input capacity of 100 MMBtu</w:t>
      </w:r>
      <w:r w:rsidR="00A469AC">
        <w:rPr>
          <w:color w:val="000000" w:themeColor="text1"/>
          <w:sz w:val="24"/>
          <w:szCs w:val="24"/>
        </w:rPr>
        <w:t xml:space="preserve"> </w:t>
      </w:r>
      <w:r w:rsidR="004101EA" w:rsidRPr="00523BEE">
        <w:rPr>
          <w:color w:val="000000" w:themeColor="text1"/>
          <w:sz w:val="24"/>
          <w:szCs w:val="24"/>
        </w:rPr>
        <w:t>/</w:t>
      </w:r>
      <w:r w:rsidR="00A469AC">
        <w:rPr>
          <w:color w:val="000000" w:themeColor="text1"/>
          <w:sz w:val="24"/>
          <w:szCs w:val="24"/>
        </w:rPr>
        <w:t xml:space="preserve"> </w:t>
      </w:r>
      <w:r w:rsidR="004101EA" w:rsidRPr="00523BEE">
        <w:rPr>
          <w:color w:val="000000" w:themeColor="text1"/>
          <w:sz w:val="24"/>
          <w:szCs w:val="24"/>
        </w:rPr>
        <w:t>h</w:t>
      </w:r>
      <w:r w:rsidR="00A469AC">
        <w:rPr>
          <w:color w:val="000000" w:themeColor="text1"/>
          <w:sz w:val="24"/>
          <w:szCs w:val="24"/>
        </w:rPr>
        <w:t>ou</w:t>
      </w:r>
      <w:r w:rsidR="004101EA" w:rsidRPr="00523BEE">
        <w:rPr>
          <w:color w:val="000000" w:themeColor="text1"/>
          <w:sz w:val="24"/>
          <w:szCs w:val="24"/>
        </w:rPr>
        <w:t>r or less but greater than 10 MMB</w:t>
      </w:r>
      <w:r w:rsidR="00A469AC">
        <w:rPr>
          <w:color w:val="000000" w:themeColor="text1"/>
          <w:sz w:val="24"/>
          <w:szCs w:val="24"/>
        </w:rPr>
        <w:t xml:space="preserve">TU </w:t>
      </w:r>
      <w:r w:rsidR="004101EA" w:rsidRPr="00523BEE">
        <w:rPr>
          <w:color w:val="000000" w:themeColor="text1"/>
          <w:sz w:val="24"/>
          <w:szCs w:val="24"/>
        </w:rPr>
        <w:t>/</w:t>
      </w:r>
      <w:r w:rsidR="00A469AC">
        <w:rPr>
          <w:color w:val="000000" w:themeColor="text1"/>
          <w:sz w:val="24"/>
          <w:szCs w:val="24"/>
        </w:rPr>
        <w:t xml:space="preserve"> </w:t>
      </w:r>
      <w:r w:rsidR="004101EA" w:rsidRPr="00523BEE">
        <w:rPr>
          <w:color w:val="000000" w:themeColor="text1"/>
          <w:sz w:val="24"/>
          <w:szCs w:val="24"/>
        </w:rPr>
        <w:t>h</w:t>
      </w:r>
      <w:r w:rsidR="00A469AC">
        <w:rPr>
          <w:color w:val="000000" w:themeColor="text1"/>
          <w:sz w:val="24"/>
          <w:szCs w:val="24"/>
        </w:rPr>
        <w:t>ou</w:t>
      </w:r>
      <w:r w:rsidR="004101EA" w:rsidRPr="00523BEE">
        <w:rPr>
          <w:color w:val="000000" w:themeColor="text1"/>
          <w:sz w:val="24"/>
          <w:szCs w:val="24"/>
        </w:rPr>
        <w:t xml:space="preserve">r.  The maximum design heat input capacity of </w:t>
      </w:r>
      <w:r w:rsidR="00CE6661" w:rsidRPr="00523BEE">
        <w:rPr>
          <w:color w:val="000000" w:themeColor="text1"/>
          <w:sz w:val="24"/>
          <w:szCs w:val="24"/>
        </w:rPr>
        <w:t xml:space="preserve">Boiler No. 3 is greater than the applicability range; therefore, the boiler is </w:t>
      </w:r>
      <w:r w:rsidR="00CE6661" w:rsidRPr="00A469AC">
        <w:rPr>
          <w:b/>
          <w:color w:val="000000" w:themeColor="text1"/>
          <w:sz w:val="24"/>
          <w:szCs w:val="24"/>
          <w:u w:val="single"/>
        </w:rPr>
        <w:t>not</w:t>
      </w:r>
      <w:r w:rsidR="00CE6661" w:rsidRPr="00523BEE">
        <w:rPr>
          <w:color w:val="000000" w:themeColor="text1"/>
          <w:sz w:val="24"/>
          <w:szCs w:val="24"/>
        </w:rPr>
        <w:t xml:space="preserve"> subject to the provisions of Subpart </w:t>
      </w:r>
      <w:r w:rsidR="00A469AC">
        <w:rPr>
          <w:color w:val="000000" w:themeColor="text1"/>
          <w:sz w:val="24"/>
          <w:szCs w:val="24"/>
        </w:rPr>
        <w:t>Dc.</w:t>
      </w:r>
    </w:p>
    <w:p w14:paraId="46C48F68" w14:textId="35141CED" w:rsidR="00CE6661" w:rsidRPr="00523BEE" w:rsidRDefault="00FC047D" w:rsidP="003414CF">
      <w:pPr>
        <w:numPr>
          <w:ilvl w:val="0"/>
          <w:numId w:val="6"/>
        </w:numPr>
        <w:spacing w:before="120"/>
        <w:jc w:val="both"/>
        <w:rPr>
          <w:color w:val="000000" w:themeColor="text1"/>
          <w:sz w:val="24"/>
          <w:szCs w:val="24"/>
        </w:rPr>
      </w:pPr>
      <w:proofErr w:type="gramStart"/>
      <w:r>
        <w:rPr>
          <w:b/>
          <w:bCs/>
          <w:color w:val="000000" w:themeColor="text1"/>
          <w:sz w:val="24"/>
          <w:szCs w:val="24"/>
        </w:rPr>
        <w:t xml:space="preserve">40 CFR Part 60, Subpart Kb – </w:t>
      </w:r>
      <w:r w:rsidR="00CE6661" w:rsidRPr="00523BEE">
        <w:rPr>
          <w:b/>
          <w:bCs/>
          <w:color w:val="000000" w:themeColor="text1"/>
          <w:sz w:val="24"/>
          <w:szCs w:val="24"/>
        </w:rPr>
        <w:t>Standards of Performance for Volatile Organic Liquid Storage Vessels (Including Petroleum Liquid Storage Vessels) for Which Construction, Reconstruction, or Modification Commenced After July 23, 1984</w:t>
      </w:r>
      <w:r w:rsidR="00CE6661" w:rsidRPr="00523BEE">
        <w:rPr>
          <w:color w:val="000000" w:themeColor="text1"/>
          <w:sz w:val="24"/>
          <w:szCs w:val="24"/>
        </w:rPr>
        <w:t xml:space="preserve"> </w:t>
      </w:r>
      <w:r w:rsidR="00451D24">
        <w:rPr>
          <w:color w:val="000000" w:themeColor="text1"/>
          <w:sz w:val="24"/>
          <w:szCs w:val="24"/>
        </w:rPr>
        <w:t>–</w:t>
      </w:r>
      <w:r w:rsidR="00CE6661" w:rsidRPr="00523BEE">
        <w:rPr>
          <w:color w:val="000000" w:themeColor="text1"/>
          <w:sz w:val="24"/>
          <w:szCs w:val="24"/>
        </w:rPr>
        <w:t xml:space="preserve"> The provisions of Subpart Kb are applicable to storage vessels with a capacity greater than or equal to 75 cubic meters (</w:t>
      </w:r>
      <w:r w:rsidR="00A469AC">
        <w:rPr>
          <w:color w:val="000000" w:themeColor="text1"/>
          <w:sz w:val="24"/>
          <w:szCs w:val="24"/>
        </w:rPr>
        <w:t>~</w:t>
      </w:r>
      <w:r w:rsidR="00CE6661" w:rsidRPr="00523BEE">
        <w:rPr>
          <w:color w:val="000000" w:themeColor="text1"/>
          <w:sz w:val="24"/>
          <w:szCs w:val="24"/>
        </w:rPr>
        <w:t>19,813 gallons) that are used to store volatile organic liquids.</w:t>
      </w:r>
      <w:proofErr w:type="gramEnd"/>
      <w:r w:rsidR="00CE6661" w:rsidRPr="00523BEE">
        <w:rPr>
          <w:color w:val="000000" w:themeColor="text1"/>
          <w:sz w:val="24"/>
          <w:szCs w:val="24"/>
        </w:rPr>
        <w:t xml:space="preserve">  None of the storage vessels at the facility </w:t>
      </w:r>
      <w:proofErr w:type="gramStart"/>
      <w:r w:rsidR="00CE6661" w:rsidRPr="00523BEE">
        <w:rPr>
          <w:color w:val="000000" w:themeColor="text1"/>
          <w:sz w:val="24"/>
          <w:szCs w:val="24"/>
        </w:rPr>
        <w:t>exceed</w:t>
      </w:r>
      <w:proofErr w:type="gramEnd"/>
      <w:r w:rsidR="00CE6661" w:rsidRPr="00523BEE">
        <w:rPr>
          <w:color w:val="000000" w:themeColor="text1"/>
          <w:sz w:val="24"/>
          <w:szCs w:val="24"/>
        </w:rPr>
        <w:t xml:space="preserve"> the applicability threshold; therefore, the storage vessels are </w:t>
      </w:r>
      <w:r w:rsidR="00CE6661" w:rsidRPr="00A469AC">
        <w:rPr>
          <w:b/>
          <w:color w:val="000000" w:themeColor="text1"/>
          <w:sz w:val="24"/>
          <w:szCs w:val="24"/>
          <w:u w:val="single"/>
        </w:rPr>
        <w:t>not</w:t>
      </w:r>
      <w:r w:rsidR="00CE6661" w:rsidRPr="00523BEE">
        <w:rPr>
          <w:color w:val="000000" w:themeColor="text1"/>
          <w:sz w:val="24"/>
          <w:szCs w:val="24"/>
        </w:rPr>
        <w:t xml:space="preserve"> subject to the provisions of Subpart Kb.</w:t>
      </w:r>
    </w:p>
    <w:p w14:paraId="7DBE5F9F" w14:textId="40C7F59C" w:rsidR="00CE6661" w:rsidRPr="00523BEE" w:rsidRDefault="00CE6661" w:rsidP="003414CF">
      <w:pPr>
        <w:numPr>
          <w:ilvl w:val="0"/>
          <w:numId w:val="6"/>
        </w:numPr>
        <w:spacing w:before="120"/>
        <w:jc w:val="both"/>
        <w:rPr>
          <w:color w:val="000000" w:themeColor="text1"/>
          <w:sz w:val="24"/>
          <w:szCs w:val="24"/>
        </w:rPr>
      </w:pPr>
      <w:proofErr w:type="gramStart"/>
      <w:r w:rsidRPr="00523BEE">
        <w:rPr>
          <w:b/>
          <w:bCs/>
          <w:color w:val="000000" w:themeColor="text1"/>
          <w:sz w:val="24"/>
          <w:szCs w:val="24"/>
        </w:rPr>
        <w:t xml:space="preserve">40 CFR </w:t>
      </w:r>
      <w:r w:rsidR="00FC047D">
        <w:rPr>
          <w:b/>
          <w:bCs/>
          <w:color w:val="000000" w:themeColor="text1"/>
          <w:sz w:val="24"/>
          <w:szCs w:val="24"/>
        </w:rPr>
        <w:t xml:space="preserve">Part </w:t>
      </w:r>
      <w:r w:rsidRPr="00523BEE">
        <w:rPr>
          <w:b/>
          <w:bCs/>
          <w:color w:val="000000" w:themeColor="text1"/>
          <w:sz w:val="24"/>
          <w:szCs w:val="24"/>
        </w:rPr>
        <w:t>60, Subpar</w:t>
      </w:r>
      <w:r w:rsidR="00FC047D">
        <w:rPr>
          <w:b/>
          <w:bCs/>
          <w:color w:val="000000" w:themeColor="text1"/>
          <w:sz w:val="24"/>
          <w:szCs w:val="24"/>
        </w:rPr>
        <w:t xml:space="preserve">ts IIII and JJJJ – </w:t>
      </w:r>
      <w:r w:rsidRPr="00523BEE">
        <w:rPr>
          <w:b/>
          <w:bCs/>
          <w:color w:val="000000" w:themeColor="text1"/>
          <w:sz w:val="24"/>
          <w:szCs w:val="24"/>
        </w:rPr>
        <w:t>Standards of Performance for Stationary Compression Ignition and Spark Ignition Internal Combustion Engines</w:t>
      </w:r>
      <w:r w:rsidRPr="00523BEE">
        <w:rPr>
          <w:color w:val="000000" w:themeColor="text1"/>
          <w:sz w:val="24"/>
          <w:szCs w:val="24"/>
        </w:rPr>
        <w:t xml:space="preserve"> </w:t>
      </w:r>
      <w:r w:rsidR="00451D24">
        <w:rPr>
          <w:color w:val="000000" w:themeColor="text1"/>
          <w:sz w:val="24"/>
          <w:szCs w:val="24"/>
        </w:rPr>
        <w:t>–</w:t>
      </w:r>
      <w:r w:rsidRPr="00523BEE">
        <w:rPr>
          <w:color w:val="000000" w:themeColor="text1"/>
          <w:sz w:val="24"/>
          <w:szCs w:val="24"/>
        </w:rPr>
        <w:t xml:space="preserve"> The provisions of Subpart IIII are applicable to stationary compression ignition internal combustion engines that commence construction after July 11, 2005, where the engine was manufactured after April 1, 2006 (not a fire pump engine), or </w:t>
      </w:r>
      <w:r w:rsidR="008B384A" w:rsidRPr="00523BEE">
        <w:rPr>
          <w:color w:val="000000" w:themeColor="text1"/>
          <w:sz w:val="24"/>
          <w:szCs w:val="24"/>
        </w:rPr>
        <w:t>after July 1, 2006 (fire pump engines).</w:t>
      </w:r>
      <w:proofErr w:type="gramEnd"/>
      <w:r w:rsidR="008B384A" w:rsidRPr="00523BEE">
        <w:rPr>
          <w:color w:val="000000" w:themeColor="text1"/>
          <w:sz w:val="24"/>
          <w:szCs w:val="24"/>
        </w:rPr>
        <w:t xml:space="preserve">  The provisions of Subpart </w:t>
      </w:r>
      <w:proofErr w:type="gramStart"/>
      <w:r w:rsidR="008B384A" w:rsidRPr="00523BEE">
        <w:rPr>
          <w:color w:val="000000" w:themeColor="text1"/>
          <w:sz w:val="24"/>
          <w:szCs w:val="24"/>
        </w:rPr>
        <w:t>JJJJ  are</w:t>
      </w:r>
      <w:proofErr w:type="gramEnd"/>
      <w:r w:rsidR="008B384A" w:rsidRPr="00523BEE">
        <w:rPr>
          <w:color w:val="000000" w:themeColor="text1"/>
          <w:sz w:val="24"/>
          <w:szCs w:val="24"/>
        </w:rPr>
        <w:t xml:space="preserve"> applicable to stationary spark ignition internal combustion engines that commence construction after June 12, 2006, where the engine was manufactured on or after the dates for specific size and types of engines.  The facility has one existing engine that was constructed/installed in 1985.  Since the engine </w:t>
      </w:r>
      <w:proofErr w:type="gramStart"/>
      <w:r w:rsidR="008B384A" w:rsidRPr="00523BEE">
        <w:rPr>
          <w:color w:val="000000" w:themeColor="text1"/>
          <w:sz w:val="24"/>
          <w:szCs w:val="24"/>
        </w:rPr>
        <w:t>was installed</w:t>
      </w:r>
      <w:proofErr w:type="gramEnd"/>
      <w:r w:rsidR="008B384A" w:rsidRPr="00523BEE">
        <w:rPr>
          <w:color w:val="000000" w:themeColor="text1"/>
          <w:sz w:val="24"/>
          <w:szCs w:val="24"/>
        </w:rPr>
        <w:t xml:space="preserve"> prior to the applicability dates in Subparts IIII and JJJJ, the provisions of </w:t>
      </w:r>
      <w:r w:rsidR="008B384A" w:rsidRPr="00A469AC">
        <w:rPr>
          <w:b/>
          <w:color w:val="000000" w:themeColor="text1"/>
          <w:sz w:val="24"/>
          <w:szCs w:val="24"/>
          <w:u w:val="single"/>
        </w:rPr>
        <w:t>neither</w:t>
      </w:r>
      <w:r w:rsidR="008B384A" w:rsidRPr="00523BEE">
        <w:rPr>
          <w:color w:val="000000" w:themeColor="text1"/>
          <w:sz w:val="24"/>
          <w:szCs w:val="24"/>
        </w:rPr>
        <w:t xml:space="preserve"> standard are subject to the engine.</w:t>
      </w:r>
    </w:p>
    <w:p w14:paraId="0B6752FF" w14:textId="46AC8301" w:rsidR="008B384A" w:rsidRPr="00523BEE" w:rsidRDefault="00CC29CE" w:rsidP="003414CF">
      <w:pPr>
        <w:numPr>
          <w:ilvl w:val="0"/>
          <w:numId w:val="6"/>
        </w:numPr>
        <w:spacing w:before="120"/>
        <w:jc w:val="both"/>
        <w:rPr>
          <w:color w:val="000000" w:themeColor="text1"/>
          <w:sz w:val="24"/>
          <w:szCs w:val="24"/>
        </w:rPr>
      </w:pPr>
      <w:r w:rsidRPr="00523BEE">
        <w:rPr>
          <w:b/>
          <w:bCs/>
          <w:color w:val="000000" w:themeColor="text1"/>
          <w:sz w:val="24"/>
          <w:szCs w:val="24"/>
        </w:rPr>
        <w:lastRenderedPageBreak/>
        <w:t xml:space="preserve">40 CFR </w:t>
      </w:r>
      <w:r w:rsidR="00FC047D">
        <w:rPr>
          <w:b/>
          <w:bCs/>
          <w:color w:val="000000" w:themeColor="text1"/>
          <w:sz w:val="24"/>
          <w:szCs w:val="24"/>
        </w:rPr>
        <w:t xml:space="preserve">Part </w:t>
      </w:r>
      <w:r w:rsidRPr="00523BEE">
        <w:rPr>
          <w:b/>
          <w:bCs/>
          <w:color w:val="000000" w:themeColor="text1"/>
          <w:sz w:val="24"/>
          <w:szCs w:val="24"/>
        </w:rPr>
        <w:t xml:space="preserve">60, Subpart KKKK, </w:t>
      </w:r>
      <w:proofErr w:type="gramStart"/>
      <w:r w:rsidRPr="00523BEE">
        <w:rPr>
          <w:b/>
          <w:bCs/>
          <w:color w:val="000000" w:themeColor="text1"/>
          <w:sz w:val="24"/>
          <w:szCs w:val="24"/>
        </w:rPr>
        <w:t>Standards</w:t>
      </w:r>
      <w:proofErr w:type="gramEnd"/>
      <w:r w:rsidRPr="00523BEE">
        <w:rPr>
          <w:b/>
          <w:bCs/>
          <w:color w:val="000000" w:themeColor="text1"/>
          <w:sz w:val="24"/>
          <w:szCs w:val="24"/>
        </w:rPr>
        <w:t xml:space="preserve"> of Performance for Stationary Combustion Turbines </w:t>
      </w:r>
      <w:r w:rsidR="00451D24">
        <w:rPr>
          <w:b/>
          <w:bCs/>
          <w:color w:val="000000" w:themeColor="text1"/>
          <w:sz w:val="24"/>
          <w:szCs w:val="24"/>
        </w:rPr>
        <w:t>–</w:t>
      </w:r>
      <w:r w:rsidRPr="00523BEE">
        <w:rPr>
          <w:color w:val="000000" w:themeColor="text1"/>
          <w:sz w:val="24"/>
          <w:szCs w:val="24"/>
        </w:rPr>
        <w:t xml:space="preserve"> The provisions of Subpart KKKK are applicable to stationary combustion turbines that commenced construction, modification, or reconstruction after February 18, 2005. The facility has a natural gas combustion turbine that </w:t>
      </w:r>
      <w:proofErr w:type="gramStart"/>
      <w:r w:rsidRPr="00523BEE">
        <w:rPr>
          <w:color w:val="000000" w:themeColor="text1"/>
          <w:sz w:val="24"/>
          <w:szCs w:val="24"/>
        </w:rPr>
        <w:t>was constructed</w:t>
      </w:r>
      <w:proofErr w:type="gramEnd"/>
      <w:r w:rsidRPr="00523BEE">
        <w:rPr>
          <w:color w:val="000000" w:themeColor="text1"/>
          <w:sz w:val="24"/>
          <w:szCs w:val="24"/>
        </w:rPr>
        <w:t xml:space="preserve"> in March 2018; therefore, the combustion turbine is subject to the provisions of Subpart KKKK.  The applicable provisions of Subpart KKKK are included in the proposed permit.</w:t>
      </w:r>
    </w:p>
    <w:p w14:paraId="15E7BA69" w14:textId="77777777" w:rsidR="00AB6090" w:rsidRDefault="00AB6090" w:rsidP="00104CE2">
      <w:pPr>
        <w:jc w:val="both"/>
        <w:rPr>
          <w:sz w:val="24"/>
          <w:szCs w:val="24"/>
          <w:u w:val="single"/>
        </w:rPr>
      </w:pPr>
    </w:p>
    <w:p w14:paraId="75E70357" w14:textId="5F85F354" w:rsidR="00531513" w:rsidRDefault="00531513" w:rsidP="00CC29CE">
      <w:pPr>
        <w:spacing w:after="120"/>
        <w:jc w:val="both"/>
        <w:rPr>
          <w:sz w:val="24"/>
          <w:szCs w:val="24"/>
          <w:u w:val="single"/>
        </w:rPr>
      </w:pPr>
      <w:r>
        <w:rPr>
          <w:sz w:val="24"/>
          <w:szCs w:val="24"/>
          <w:u w:val="single"/>
        </w:rPr>
        <w:t>SPECIFIC APPLICABLE REQUIREMENTS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89"/>
        <w:gridCol w:w="1171"/>
        <w:gridCol w:w="3510"/>
        <w:gridCol w:w="4035"/>
      </w:tblGrid>
      <w:tr w:rsidR="00531513" w14:paraId="26F78C42" w14:textId="77777777" w:rsidTr="00A46162">
        <w:trPr>
          <w:cantSplit/>
          <w:trHeight w:val="632"/>
          <w:tblHeader/>
          <w:jc w:val="center"/>
        </w:trPr>
        <w:tc>
          <w:tcPr>
            <w:tcW w:w="989" w:type="dxa"/>
            <w:shd w:val="pct20" w:color="auto" w:fill="FFFFFF"/>
            <w:vAlign w:val="center"/>
          </w:tcPr>
          <w:p w14:paraId="3A781F76" w14:textId="77777777" w:rsidR="00531513" w:rsidRPr="00FC047D" w:rsidRDefault="00531513" w:rsidP="008A385B">
            <w:pPr>
              <w:spacing w:before="60" w:after="60"/>
              <w:jc w:val="center"/>
              <w:rPr>
                <w:b/>
                <w:sz w:val="18"/>
                <w:szCs w:val="18"/>
              </w:rPr>
            </w:pPr>
            <w:r w:rsidRPr="00FC047D">
              <w:rPr>
                <w:b/>
                <w:sz w:val="18"/>
                <w:szCs w:val="18"/>
              </w:rPr>
              <w:t>Emission Point No.</w:t>
            </w:r>
          </w:p>
        </w:tc>
        <w:tc>
          <w:tcPr>
            <w:tcW w:w="1171" w:type="dxa"/>
            <w:shd w:val="pct20" w:color="auto" w:fill="FFFFFF"/>
            <w:vAlign w:val="center"/>
          </w:tcPr>
          <w:p w14:paraId="2D5BB946" w14:textId="7C0EC173" w:rsidR="00531513" w:rsidRPr="00FC047D" w:rsidRDefault="00531513" w:rsidP="008A385B">
            <w:pPr>
              <w:spacing w:before="60" w:after="60"/>
              <w:jc w:val="center"/>
              <w:rPr>
                <w:b/>
                <w:sz w:val="18"/>
                <w:szCs w:val="18"/>
              </w:rPr>
            </w:pPr>
            <w:r w:rsidRPr="00FC047D">
              <w:rPr>
                <w:b/>
                <w:sz w:val="18"/>
                <w:szCs w:val="18"/>
              </w:rPr>
              <w:t>Pollutant</w:t>
            </w:r>
            <w:r w:rsidR="008F367E">
              <w:rPr>
                <w:b/>
                <w:sz w:val="18"/>
                <w:szCs w:val="18"/>
              </w:rPr>
              <w:t xml:space="preserve"> / Parameter</w:t>
            </w:r>
          </w:p>
        </w:tc>
        <w:tc>
          <w:tcPr>
            <w:tcW w:w="3510" w:type="dxa"/>
            <w:shd w:val="pct20" w:color="auto" w:fill="FFFFFF"/>
            <w:vAlign w:val="center"/>
          </w:tcPr>
          <w:p w14:paraId="32DF903E" w14:textId="77777777" w:rsidR="00531513" w:rsidRPr="00FC047D" w:rsidRDefault="00531513" w:rsidP="008A385B">
            <w:pPr>
              <w:spacing w:before="60" w:after="60"/>
              <w:jc w:val="center"/>
              <w:rPr>
                <w:b/>
                <w:sz w:val="18"/>
                <w:szCs w:val="18"/>
              </w:rPr>
            </w:pPr>
            <w:r w:rsidRPr="00FC047D">
              <w:rPr>
                <w:b/>
                <w:sz w:val="18"/>
                <w:szCs w:val="18"/>
              </w:rPr>
              <w:t>Draft Permit Emission Limits</w:t>
            </w:r>
          </w:p>
        </w:tc>
        <w:tc>
          <w:tcPr>
            <w:tcW w:w="4035" w:type="dxa"/>
            <w:shd w:val="pct20" w:color="auto" w:fill="FFFFFF"/>
            <w:vAlign w:val="center"/>
          </w:tcPr>
          <w:p w14:paraId="45AD5DE2" w14:textId="77777777" w:rsidR="00531513" w:rsidRPr="00FC047D" w:rsidRDefault="00531513" w:rsidP="00875014">
            <w:pPr>
              <w:spacing w:before="60" w:after="60"/>
              <w:jc w:val="center"/>
              <w:rPr>
                <w:b/>
                <w:sz w:val="18"/>
                <w:szCs w:val="18"/>
              </w:rPr>
            </w:pPr>
            <w:r w:rsidRPr="00FC047D">
              <w:rPr>
                <w:b/>
                <w:sz w:val="18"/>
                <w:szCs w:val="18"/>
              </w:rPr>
              <w:t>Monitoring Requirements</w:t>
            </w:r>
          </w:p>
        </w:tc>
      </w:tr>
      <w:tr w:rsidR="00CC29CE" w14:paraId="2791B7B5" w14:textId="77777777" w:rsidTr="00451D24">
        <w:trPr>
          <w:cantSplit/>
          <w:trHeight w:val="1196"/>
          <w:jc w:val="center"/>
        </w:trPr>
        <w:tc>
          <w:tcPr>
            <w:tcW w:w="989" w:type="dxa"/>
            <w:vAlign w:val="center"/>
          </w:tcPr>
          <w:p w14:paraId="7A6556ED" w14:textId="51CD379C" w:rsidR="00CC29CE" w:rsidRDefault="00CC29CE" w:rsidP="00875014">
            <w:pPr>
              <w:jc w:val="center"/>
              <w:rPr>
                <w:sz w:val="18"/>
                <w:szCs w:val="18"/>
              </w:rPr>
            </w:pPr>
            <w:r>
              <w:rPr>
                <w:sz w:val="18"/>
                <w:szCs w:val="18"/>
              </w:rPr>
              <w:t>AA-000</w:t>
            </w:r>
          </w:p>
        </w:tc>
        <w:tc>
          <w:tcPr>
            <w:tcW w:w="1171" w:type="dxa"/>
            <w:vAlign w:val="center"/>
          </w:tcPr>
          <w:p w14:paraId="58A5DF55" w14:textId="77777777" w:rsidR="00875014" w:rsidRDefault="00CC29CE" w:rsidP="00875014">
            <w:pPr>
              <w:jc w:val="center"/>
              <w:rPr>
                <w:sz w:val="18"/>
                <w:szCs w:val="18"/>
              </w:rPr>
            </w:pPr>
            <w:r>
              <w:rPr>
                <w:sz w:val="18"/>
                <w:szCs w:val="18"/>
              </w:rPr>
              <w:t>PM</w:t>
            </w:r>
          </w:p>
          <w:p w14:paraId="1CC4AA2D" w14:textId="1D18BA0A" w:rsidR="00CC29CE" w:rsidRDefault="00CC29CE" w:rsidP="00875014">
            <w:pPr>
              <w:jc w:val="center"/>
              <w:rPr>
                <w:sz w:val="18"/>
                <w:szCs w:val="18"/>
              </w:rPr>
            </w:pPr>
            <w:r>
              <w:rPr>
                <w:sz w:val="18"/>
                <w:szCs w:val="18"/>
              </w:rPr>
              <w:t>(filterable)</w:t>
            </w:r>
          </w:p>
        </w:tc>
        <w:tc>
          <w:tcPr>
            <w:tcW w:w="3510" w:type="dxa"/>
            <w:vAlign w:val="center"/>
          </w:tcPr>
          <w:p w14:paraId="3FC13F5D" w14:textId="553AA0D3" w:rsidR="00CC29CE" w:rsidRDefault="00875014" w:rsidP="00875014">
            <w:pPr>
              <w:jc w:val="center"/>
              <w:rPr>
                <w:sz w:val="18"/>
                <w:szCs w:val="18"/>
              </w:rPr>
            </w:pPr>
            <w:r w:rsidRPr="00875014">
              <w:rPr>
                <w:sz w:val="18"/>
                <w:szCs w:val="18"/>
              </w:rPr>
              <w:t>E = 4.1(p</w:t>
            </w:r>
            <w:r w:rsidRPr="00875014">
              <w:rPr>
                <w:sz w:val="18"/>
                <w:szCs w:val="18"/>
                <w:vertAlign w:val="superscript"/>
              </w:rPr>
              <w:t>0.67</w:t>
            </w:r>
            <w:r w:rsidRPr="00875014">
              <w:rPr>
                <w:sz w:val="18"/>
                <w:szCs w:val="18"/>
              </w:rPr>
              <w:t>)</w:t>
            </w:r>
          </w:p>
        </w:tc>
        <w:tc>
          <w:tcPr>
            <w:tcW w:w="4035" w:type="dxa"/>
            <w:vAlign w:val="center"/>
          </w:tcPr>
          <w:p w14:paraId="73A8A368" w14:textId="6806A202" w:rsidR="00CC29CE" w:rsidRDefault="00875014" w:rsidP="00875014">
            <w:pPr>
              <w:jc w:val="center"/>
              <w:rPr>
                <w:sz w:val="18"/>
                <w:szCs w:val="18"/>
              </w:rPr>
            </w:pPr>
            <w:r>
              <w:rPr>
                <w:sz w:val="18"/>
                <w:szCs w:val="18"/>
              </w:rPr>
              <w:t xml:space="preserve">The margin of compliance for this standard </w:t>
            </w:r>
            <w:proofErr w:type="gramStart"/>
            <w:r>
              <w:rPr>
                <w:sz w:val="18"/>
                <w:szCs w:val="18"/>
              </w:rPr>
              <w:t>is expected</w:t>
            </w:r>
            <w:proofErr w:type="gramEnd"/>
            <w:r>
              <w:rPr>
                <w:sz w:val="18"/>
                <w:szCs w:val="18"/>
              </w:rPr>
              <w:t xml:space="preserve"> to be significant given that the facility has equipped several process equipment with control devices to minimize the emission of PM.</w:t>
            </w:r>
            <w:r w:rsidR="00DD5E91">
              <w:rPr>
                <w:sz w:val="18"/>
                <w:szCs w:val="18"/>
              </w:rPr>
              <w:t xml:space="preserve">  Therefore, no monitoring requirements are necessary.</w:t>
            </w:r>
          </w:p>
        </w:tc>
      </w:tr>
      <w:tr w:rsidR="005E7D1C" w14:paraId="1EAB59BF" w14:textId="77777777" w:rsidTr="00A46162">
        <w:trPr>
          <w:cantSplit/>
          <w:trHeight w:val="525"/>
          <w:jc w:val="center"/>
        </w:trPr>
        <w:tc>
          <w:tcPr>
            <w:tcW w:w="9705" w:type="dxa"/>
            <w:gridSpan w:val="4"/>
            <w:shd w:val="clear" w:color="auto" w:fill="BFBFBF" w:themeFill="background1" w:themeFillShade="BF"/>
            <w:vAlign w:val="center"/>
          </w:tcPr>
          <w:p w14:paraId="18520C37" w14:textId="085A66C3" w:rsidR="005E7D1C" w:rsidRPr="005E7D1C" w:rsidRDefault="005E7D1C" w:rsidP="00875014">
            <w:pPr>
              <w:jc w:val="center"/>
              <w:rPr>
                <w:b/>
                <w:sz w:val="24"/>
                <w:szCs w:val="24"/>
              </w:rPr>
            </w:pPr>
            <w:proofErr w:type="spellStart"/>
            <w:r w:rsidRPr="005E7D1C">
              <w:rPr>
                <w:b/>
                <w:sz w:val="24"/>
                <w:szCs w:val="24"/>
              </w:rPr>
              <w:t>Studmill</w:t>
            </w:r>
            <w:proofErr w:type="spellEnd"/>
            <w:r w:rsidRPr="005E7D1C">
              <w:rPr>
                <w:b/>
                <w:sz w:val="24"/>
                <w:szCs w:val="24"/>
              </w:rPr>
              <w:t xml:space="preserve"> Operations</w:t>
            </w:r>
          </w:p>
        </w:tc>
      </w:tr>
      <w:tr w:rsidR="00924716" w14:paraId="0429784D" w14:textId="77777777" w:rsidTr="00A46162">
        <w:trPr>
          <w:cantSplit/>
          <w:trHeight w:val="800"/>
          <w:jc w:val="center"/>
        </w:trPr>
        <w:tc>
          <w:tcPr>
            <w:tcW w:w="989" w:type="dxa"/>
            <w:vAlign w:val="center"/>
          </w:tcPr>
          <w:p w14:paraId="0BE9E3F9" w14:textId="77777777" w:rsidR="00924716" w:rsidRDefault="00924716" w:rsidP="00875014">
            <w:pPr>
              <w:jc w:val="center"/>
              <w:rPr>
                <w:sz w:val="18"/>
                <w:szCs w:val="18"/>
              </w:rPr>
            </w:pPr>
            <w:r>
              <w:rPr>
                <w:sz w:val="18"/>
                <w:szCs w:val="18"/>
              </w:rPr>
              <w:t>AA-409 AA-410</w:t>
            </w:r>
          </w:p>
        </w:tc>
        <w:tc>
          <w:tcPr>
            <w:tcW w:w="1171" w:type="dxa"/>
            <w:vAlign w:val="center"/>
          </w:tcPr>
          <w:p w14:paraId="26DB8BF1" w14:textId="4B590680" w:rsidR="00924716" w:rsidRDefault="005E7D1C" w:rsidP="00875014">
            <w:pPr>
              <w:jc w:val="center"/>
              <w:rPr>
                <w:sz w:val="18"/>
                <w:szCs w:val="18"/>
              </w:rPr>
            </w:pPr>
            <w:r>
              <w:rPr>
                <w:sz w:val="18"/>
                <w:szCs w:val="18"/>
              </w:rPr>
              <w:t>Opacity</w:t>
            </w:r>
          </w:p>
        </w:tc>
        <w:tc>
          <w:tcPr>
            <w:tcW w:w="3510" w:type="dxa"/>
            <w:vAlign w:val="center"/>
          </w:tcPr>
          <w:p w14:paraId="4F947723" w14:textId="559ED3B8" w:rsidR="00924716" w:rsidRDefault="00924716" w:rsidP="00875014">
            <w:pPr>
              <w:jc w:val="center"/>
              <w:rPr>
                <w:sz w:val="18"/>
                <w:szCs w:val="18"/>
              </w:rPr>
            </w:pPr>
            <w:r>
              <w:rPr>
                <w:sz w:val="18"/>
                <w:szCs w:val="18"/>
              </w:rPr>
              <w:t>≤ 40%</w:t>
            </w:r>
          </w:p>
        </w:tc>
        <w:tc>
          <w:tcPr>
            <w:tcW w:w="4035" w:type="dxa"/>
            <w:vAlign w:val="center"/>
          </w:tcPr>
          <w:p w14:paraId="0DAB6AB6" w14:textId="79485608" w:rsidR="00924716" w:rsidRDefault="005E7D1C" w:rsidP="00875014">
            <w:pPr>
              <w:jc w:val="center"/>
              <w:rPr>
                <w:sz w:val="18"/>
                <w:szCs w:val="18"/>
              </w:rPr>
            </w:pPr>
            <w:r>
              <w:rPr>
                <w:sz w:val="18"/>
                <w:szCs w:val="18"/>
              </w:rPr>
              <w:t>The facility will conduct weekly visible emission observations and perform weekly inspections on the corresponding control devices.</w:t>
            </w:r>
          </w:p>
        </w:tc>
      </w:tr>
      <w:tr w:rsidR="00924716" w14:paraId="74F39C07" w14:textId="77777777" w:rsidTr="00A46162">
        <w:trPr>
          <w:cantSplit/>
          <w:trHeight w:val="480"/>
          <w:jc w:val="center"/>
        </w:trPr>
        <w:tc>
          <w:tcPr>
            <w:tcW w:w="9705" w:type="dxa"/>
            <w:gridSpan w:val="4"/>
            <w:shd w:val="clear" w:color="auto" w:fill="BFBFBF" w:themeFill="background1" w:themeFillShade="BF"/>
            <w:vAlign w:val="center"/>
          </w:tcPr>
          <w:p w14:paraId="45F8CD95" w14:textId="2225F349" w:rsidR="00924716" w:rsidRPr="00924716" w:rsidRDefault="00924716" w:rsidP="00875014">
            <w:pPr>
              <w:jc w:val="center"/>
              <w:rPr>
                <w:b/>
                <w:bCs/>
                <w:sz w:val="18"/>
                <w:szCs w:val="18"/>
              </w:rPr>
            </w:pPr>
            <w:r w:rsidRPr="00924716">
              <w:rPr>
                <w:b/>
                <w:bCs/>
                <w:sz w:val="24"/>
                <w:szCs w:val="24"/>
              </w:rPr>
              <w:t>Plywood Mill</w:t>
            </w:r>
            <w:r w:rsidR="005E7D1C">
              <w:rPr>
                <w:b/>
                <w:bCs/>
                <w:sz w:val="24"/>
                <w:szCs w:val="24"/>
              </w:rPr>
              <w:t xml:space="preserve"> Operations</w:t>
            </w:r>
          </w:p>
        </w:tc>
      </w:tr>
      <w:tr w:rsidR="00924716" w14:paraId="2C076BA9" w14:textId="77777777" w:rsidTr="00A46162">
        <w:trPr>
          <w:cantSplit/>
          <w:trHeight w:val="935"/>
          <w:jc w:val="center"/>
        </w:trPr>
        <w:tc>
          <w:tcPr>
            <w:tcW w:w="989" w:type="dxa"/>
            <w:vAlign w:val="center"/>
          </w:tcPr>
          <w:p w14:paraId="15EDCB44" w14:textId="77777777" w:rsidR="005E7D1C" w:rsidRDefault="005E7D1C" w:rsidP="005E7D1C">
            <w:pPr>
              <w:jc w:val="center"/>
              <w:rPr>
                <w:sz w:val="18"/>
                <w:szCs w:val="18"/>
              </w:rPr>
            </w:pPr>
            <w:r>
              <w:rPr>
                <w:sz w:val="18"/>
                <w:szCs w:val="18"/>
              </w:rPr>
              <w:t>AA-303</w:t>
            </w:r>
          </w:p>
          <w:p w14:paraId="6FEF1AE7" w14:textId="004AC90B" w:rsidR="005E7D1C" w:rsidRDefault="005E7D1C" w:rsidP="005E7D1C">
            <w:pPr>
              <w:jc w:val="center"/>
              <w:rPr>
                <w:sz w:val="18"/>
                <w:szCs w:val="18"/>
              </w:rPr>
            </w:pPr>
            <w:r>
              <w:rPr>
                <w:sz w:val="18"/>
                <w:szCs w:val="18"/>
              </w:rPr>
              <w:t>through</w:t>
            </w:r>
          </w:p>
          <w:p w14:paraId="0BDC1C82" w14:textId="77777777" w:rsidR="00711814" w:rsidRDefault="00711814" w:rsidP="005E7D1C">
            <w:pPr>
              <w:jc w:val="center"/>
              <w:rPr>
                <w:sz w:val="18"/>
                <w:szCs w:val="18"/>
              </w:rPr>
            </w:pPr>
            <w:r>
              <w:rPr>
                <w:sz w:val="18"/>
                <w:szCs w:val="18"/>
              </w:rPr>
              <w:t>AA-306</w:t>
            </w:r>
          </w:p>
          <w:p w14:paraId="3C4A3FEA" w14:textId="37246FA7" w:rsidR="00924716" w:rsidRDefault="00924716" w:rsidP="005E7D1C">
            <w:pPr>
              <w:jc w:val="center"/>
              <w:rPr>
                <w:sz w:val="18"/>
                <w:szCs w:val="18"/>
              </w:rPr>
            </w:pPr>
            <w:r>
              <w:rPr>
                <w:sz w:val="18"/>
                <w:szCs w:val="18"/>
              </w:rPr>
              <w:t>AA-321</w:t>
            </w:r>
          </w:p>
        </w:tc>
        <w:tc>
          <w:tcPr>
            <w:tcW w:w="1171" w:type="dxa"/>
            <w:vAlign w:val="center"/>
          </w:tcPr>
          <w:p w14:paraId="0782C8FB" w14:textId="5EDFDC76" w:rsidR="00924716" w:rsidRDefault="005E7D1C" w:rsidP="00875014">
            <w:pPr>
              <w:jc w:val="center"/>
              <w:rPr>
                <w:sz w:val="18"/>
                <w:szCs w:val="18"/>
              </w:rPr>
            </w:pPr>
            <w:r>
              <w:rPr>
                <w:sz w:val="18"/>
                <w:szCs w:val="18"/>
              </w:rPr>
              <w:t>Opacity</w:t>
            </w:r>
          </w:p>
        </w:tc>
        <w:tc>
          <w:tcPr>
            <w:tcW w:w="3510" w:type="dxa"/>
            <w:vAlign w:val="center"/>
          </w:tcPr>
          <w:p w14:paraId="3F64F7E9" w14:textId="588990EB" w:rsidR="00924716" w:rsidRDefault="00924716" w:rsidP="00875014">
            <w:pPr>
              <w:jc w:val="center"/>
              <w:rPr>
                <w:sz w:val="18"/>
                <w:szCs w:val="18"/>
              </w:rPr>
            </w:pPr>
            <w:r>
              <w:rPr>
                <w:sz w:val="18"/>
                <w:szCs w:val="18"/>
              </w:rPr>
              <w:t>≤ 40%</w:t>
            </w:r>
          </w:p>
        </w:tc>
        <w:tc>
          <w:tcPr>
            <w:tcW w:w="4035" w:type="dxa"/>
            <w:vAlign w:val="center"/>
          </w:tcPr>
          <w:p w14:paraId="1F877E5D" w14:textId="62A2F037" w:rsidR="00924716" w:rsidRDefault="005E7D1C" w:rsidP="00875014">
            <w:pPr>
              <w:jc w:val="center"/>
              <w:rPr>
                <w:sz w:val="18"/>
                <w:szCs w:val="18"/>
              </w:rPr>
            </w:pPr>
            <w:r w:rsidRPr="005E7D1C">
              <w:rPr>
                <w:sz w:val="18"/>
                <w:szCs w:val="18"/>
              </w:rPr>
              <w:t>The facility will conduct weekly visible emission observations and perform weekly inspections on the corresponding control devices.</w:t>
            </w:r>
          </w:p>
        </w:tc>
      </w:tr>
      <w:tr w:rsidR="00DD5E91" w14:paraId="03D15797" w14:textId="77777777" w:rsidTr="00A46162">
        <w:trPr>
          <w:cantSplit/>
          <w:trHeight w:val="800"/>
          <w:jc w:val="center"/>
        </w:trPr>
        <w:tc>
          <w:tcPr>
            <w:tcW w:w="989" w:type="dxa"/>
            <w:vMerge w:val="restart"/>
            <w:vAlign w:val="center"/>
          </w:tcPr>
          <w:p w14:paraId="4F76B835" w14:textId="589D3B7A" w:rsidR="00DD5E91" w:rsidRDefault="00DD5E91" w:rsidP="00DD5E91">
            <w:pPr>
              <w:jc w:val="center"/>
              <w:rPr>
                <w:sz w:val="18"/>
                <w:szCs w:val="18"/>
              </w:rPr>
            </w:pPr>
            <w:r>
              <w:rPr>
                <w:sz w:val="18"/>
                <w:szCs w:val="18"/>
              </w:rPr>
              <w:t>AA-320</w:t>
            </w:r>
          </w:p>
        </w:tc>
        <w:tc>
          <w:tcPr>
            <w:tcW w:w="1171" w:type="dxa"/>
            <w:vAlign w:val="center"/>
          </w:tcPr>
          <w:p w14:paraId="26B2A1C5" w14:textId="77777777" w:rsidR="00711814" w:rsidRDefault="00DD5E91" w:rsidP="00711814">
            <w:pPr>
              <w:jc w:val="center"/>
              <w:rPr>
                <w:sz w:val="18"/>
                <w:szCs w:val="18"/>
              </w:rPr>
            </w:pPr>
            <w:r w:rsidRPr="00160AE7">
              <w:rPr>
                <w:sz w:val="18"/>
                <w:szCs w:val="18"/>
              </w:rPr>
              <w:t>PM</w:t>
            </w:r>
          </w:p>
          <w:p w14:paraId="188595FC" w14:textId="3EBE543E" w:rsidR="00DD5E91" w:rsidRDefault="00DD5E91" w:rsidP="00711814">
            <w:pPr>
              <w:jc w:val="center"/>
              <w:rPr>
                <w:sz w:val="18"/>
                <w:szCs w:val="18"/>
              </w:rPr>
            </w:pPr>
            <w:r w:rsidRPr="00160AE7">
              <w:rPr>
                <w:sz w:val="18"/>
                <w:szCs w:val="18"/>
              </w:rPr>
              <w:t>(filterable)</w:t>
            </w:r>
          </w:p>
        </w:tc>
        <w:tc>
          <w:tcPr>
            <w:tcW w:w="3510" w:type="dxa"/>
            <w:vAlign w:val="center"/>
          </w:tcPr>
          <w:p w14:paraId="57D79806" w14:textId="0509E54E" w:rsidR="00DD5E91" w:rsidRDefault="00DD5E91" w:rsidP="00875014">
            <w:pPr>
              <w:jc w:val="center"/>
              <w:rPr>
                <w:sz w:val="18"/>
                <w:szCs w:val="18"/>
              </w:rPr>
            </w:pPr>
            <w:r w:rsidRPr="00160AE7">
              <w:rPr>
                <w:sz w:val="18"/>
                <w:szCs w:val="18"/>
              </w:rPr>
              <w:t>0.6 lbs</w:t>
            </w:r>
            <w:r>
              <w:rPr>
                <w:sz w:val="18"/>
                <w:szCs w:val="18"/>
              </w:rPr>
              <w:t xml:space="preserve">. </w:t>
            </w:r>
            <w:r w:rsidRPr="00160AE7">
              <w:rPr>
                <w:sz w:val="18"/>
                <w:szCs w:val="18"/>
              </w:rPr>
              <w:t>/</w:t>
            </w:r>
            <w:r>
              <w:rPr>
                <w:sz w:val="18"/>
                <w:szCs w:val="18"/>
              </w:rPr>
              <w:t xml:space="preserve"> MMBTU</w:t>
            </w:r>
          </w:p>
        </w:tc>
        <w:tc>
          <w:tcPr>
            <w:tcW w:w="4035" w:type="dxa"/>
            <w:vAlign w:val="center"/>
          </w:tcPr>
          <w:p w14:paraId="04EFEFDB" w14:textId="133919F4" w:rsidR="00DD5E91" w:rsidRDefault="00DD5E91" w:rsidP="00DD5E91">
            <w:pPr>
              <w:jc w:val="center"/>
              <w:rPr>
                <w:sz w:val="18"/>
                <w:szCs w:val="18"/>
              </w:rPr>
            </w:pPr>
            <w:r>
              <w:rPr>
                <w:sz w:val="18"/>
                <w:szCs w:val="18"/>
              </w:rPr>
              <w:t xml:space="preserve">The margin of compliance for this standard </w:t>
            </w:r>
            <w:proofErr w:type="gramStart"/>
            <w:r>
              <w:rPr>
                <w:sz w:val="18"/>
                <w:szCs w:val="18"/>
              </w:rPr>
              <w:t>is expected</w:t>
            </w:r>
            <w:proofErr w:type="gramEnd"/>
            <w:r>
              <w:rPr>
                <w:sz w:val="18"/>
                <w:szCs w:val="18"/>
              </w:rPr>
              <w:t xml:space="preserve"> to be significant given that the facility must conduct routine maintenance on the engine.</w:t>
            </w:r>
          </w:p>
        </w:tc>
      </w:tr>
      <w:tr w:rsidR="007F1CA2" w14:paraId="0ABDA225" w14:textId="77777777" w:rsidTr="00A46162">
        <w:trPr>
          <w:cantSplit/>
          <w:trHeight w:val="1070"/>
          <w:jc w:val="center"/>
        </w:trPr>
        <w:tc>
          <w:tcPr>
            <w:tcW w:w="989" w:type="dxa"/>
            <w:vMerge/>
            <w:vAlign w:val="center"/>
          </w:tcPr>
          <w:p w14:paraId="7C8D814B" w14:textId="77777777" w:rsidR="007F1CA2" w:rsidRDefault="007F1CA2" w:rsidP="00DD5E91">
            <w:pPr>
              <w:jc w:val="center"/>
              <w:rPr>
                <w:sz w:val="18"/>
                <w:szCs w:val="18"/>
              </w:rPr>
            </w:pPr>
          </w:p>
        </w:tc>
        <w:tc>
          <w:tcPr>
            <w:tcW w:w="1171" w:type="dxa"/>
            <w:vAlign w:val="center"/>
          </w:tcPr>
          <w:p w14:paraId="5BA61A99" w14:textId="073F18B5" w:rsidR="007F1CA2" w:rsidRPr="00160AE7" w:rsidRDefault="007F1CA2" w:rsidP="00875014">
            <w:pPr>
              <w:jc w:val="center"/>
              <w:rPr>
                <w:sz w:val="18"/>
                <w:szCs w:val="18"/>
              </w:rPr>
            </w:pPr>
            <w:r>
              <w:rPr>
                <w:sz w:val="18"/>
                <w:szCs w:val="18"/>
              </w:rPr>
              <w:t>Operational Requirements</w:t>
            </w:r>
          </w:p>
        </w:tc>
        <w:tc>
          <w:tcPr>
            <w:tcW w:w="3510" w:type="dxa"/>
            <w:vAlign w:val="center"/>
          </w:tcPr>
          <w:p w14:paraId="2D2017EA" w14:textId="77777777" w:rsidR="007F1CA2" w:rsidRDefault="007F1CA2" w:rsidP="007F1CA2">
            <w:pPr>
              <w:jc w:val="center"/>
              <w:rPr>
                <w:sz w:val="18"/>
                <w:szCs w:val="18"/>
              </w:rPr>
            </w:pPr>
            <w:r w:rsidRPr="007F1CA2">
              <w:rPr>
                <w:sz w:val="18"/>
                <w:szCs w:val="18"/>
              </w:rPr>
              <w:t>100 Hours / Calendar Year for Maintenance and Readiness Testing;  and</w:t>
            </w:r>
          </w:p>
          <w:p w14:paraId="361330EE" w14:textId="567DA497" w:rsidR="007F1CA2" w:rsidRPr="007F1CA2" w:rsidRDefault="007F1CA2" w:rsidP="007F1CA2">
            <w:pPr>
              <w:jc w:val="center"/>
              <w:rPr>
                <w:sz w:val="10"/>
                <w:szCs w:val="10"/>
              </w:rPr>
            </w:pPr>
            <w:r w:rsidRPr="007F1CA2">
              <w:rPr>
                <w:sz w:val="18"/>
                <w:szCs w:val="18"/>
              </w:rPr>
              <w:t xml:space="preserve"> </w:t>
            </w:r>
          </w:p>
          <w:p w14:paraId="0E573F45" w14:textId="1948E82A" w:rsidR="007F1CA2" w:rsidRPr="00160AE7" w:rsidRDefault="007F1CA2" w:rsidP="007F1CA2">
            <w:pPr>
              <w:jc w:val="center"/>
              <w:rPr>
                <w:sz w:val="18"/>
                <w:szCs w:val="18"/>
              </w:rPr>
            </w:pPr>
            <w:r w:rsidRPr="007F1CA2">
              <w:rPr>
                <w:sz w:val="18"/>
                <w:szCs w:val="18"/>
              </w:rPr>
              <w:t>50 Hours / Calendar Year for Non-Emergency Situations</w:t>
            </w:r>
          </w:p>
        </w:tc>
        <w:tc>
          <w:tcPr>
            <w:tcW w:w="4035" w:type="dxa"/>
            <w:vAlign w:val="center"/>
          </w:tcPr>
          <w:p w14:paraId="4422EBD2" w14:textId="1A582F36" w:rsidR="007F1CA2" w:rsidRDefault="007F1CA2" w:rsidP="00DD5E91">
            <w:pPr>
              <w:jc w:val="center"/>
              <w:rPr>
                <w:sz w:val="18"/>
                <w:szCs w:val="18"/>
              </w:rPr>
            </w:pPr>
            <w:r>
              <w:rPr>
                <w:sz w:val="18"/>
                <w:szCs w:val="18"/>
              </w:rPr>
              <w:t xml:space="preserve">The facility will monitor and record the hours </w:t>
            </w:r>
            <w:r w:rsidR="00451D24">
              <w:rPr>
                <w:sz w:val="18"/>
                <w:szCs w:val="18"/>
              </w:rPr>
              <w:t xml:space="preserve">of </w:t>
            </w:r>
            <w:r>
              <w:rPr>
                <w:sz w:val="18"/>
                <w:szCs w:val="18"/>
              </w:rPr>
              <w:t>operation on a monthly basis (both for emergency and non-emergency service).</w:t>
            </w:r>
          </w:p>
        </w:tc>
      </w:tr>
      <w:tr w:rsidR="007F1CA2" w14:paraId="6D37BB5C" w14:textId="77777777" w:rsidTr="00A46162">
        <w:trPr>
          <w:cantSplit/>
          <w:trHeight w:val="710"/>
          <w:jc w:val="center"/>
        </w:trPr>
        <w:tc>
          <w:tcPr>
            <w:tcW w:w="989" w:type="dxa"/>
            <w:vMerge w:val="restart"/>
            <w:vAlign w:val="center"/>
          </w:tcPr>
          <w:p w14:paraId="28FC7033" w14:textId="2E14B5E7" w:rsidR="007F1CA2" w:rsidRDefault="007F1CA2" w:rsidP="007F1CA2">
            <w:pPr>
              <w:jc w:val="center"/>
              <w:rPr>
                <w:sz w:val="18"/>
                <w:szCs w:val="18"/>
              </w:rPr>
            </w:pPr>
            <w:r>
              <w:rPr>
                <w:sz w:val="18"/>
                <w:szCs w:val="18"/>
              </w:rPr>
              <w:t>AA-404</w:t>
            </w:r>
          </w:p>
        </w:tc>
        <w:tc>
          <w:tcPr>
            <w:tcW w:w="1171" w:type="dxa"/>
            <w:vAlign w:val="center"/>
          </w:tcPr>
          <w:p w14:paraId="09475943" w14:textId="77777777" w:rsidR="00711814" w:rsidRDefault="007F1CA2" w:rsidP="00711814">
            <w:pPr>
              <w:jc w:val="center"/>
              <w:rPr>
                <w:sz w:val="18"/>
                <w:szCs w:val="18"/>
              </w:rPr>
            </w:pPr>
            <w:r>
              <w:rPr>
                <w:sz w:val="18"/>
                <w:szCs w:val="18"/>
              </w:rPr>
              <w:t>VOCs</w:t>
            </w:r>
          </w:p>
          <w:p w14:paraId="77691F9A" w14:textId="4CED5C99" w:rsidR="007F1CA2" w:rsidRDefault="007F1CA2" w:rsidP="00711814">
            <w:pPr>
              <w:jc w:val="center"/>
              <w:rPr>
                <w:sz w:val="18"/>
                <w:szCs w:val="18"/>
              </w:rPr>
            </w:pPr>
            <w:r>
              <w:rPr>
                <w:sz w:val="18"/>
                <w:szCs w:val="18"/>
              </w:rPr>
              <w:t>(as carbon)</w:t>
            </w:r>
          </w:p>
        </w:tc>
        <w:tc>
          <w:tcPr>
            <w:tcW w:w="3510" w:type="dxa"/>
            <w:vAlign w:val="center"/>
          </w:tcPr>
          <w:p w14:paraId="16EE574D" w14:textId="701AF8DE" w:rsidR="007F1CA2" w:rsidRDefault="007F1CA2" w:rsidP="007F1CA2">
            <w:pPr>
              <w:jc w:val="center"/>
              <w:rPr>
                <w:sz w:val="18"/>
                <w:szCs w:val="18"/>
              </w:rPr>
            </w:pPr>
            <w:r>
              <w:rPr>
                <w:sz w:val="18"/>
                <w:szCs w:val="18"/>
              </w:rPr>
              <w:t>90% Destruction Efficiency (Minimum)</w:t>
            </w:r>
          </w:p>
        </w:tc>
        <w:tc>
          <w:tcPr>
            <w:tcW w:w="4035" w:type="dxa"/>
            <w:vAlign w:val="center"/>
          </w:tcPr>
          <w:p w14:paraId="5097DE4B" w14:textId="3BD9827B" w:rsidR="007F1CA2" w:rsidRDefault="007F1CA2" w:rsidP="007F1CA2">
            <w:pPr>
              <w:jc w:val="center"/>
              <w:rPr>
                <w:sz w:val="18"/>
                <w:szCs w:val="18"/>
              </w:rPr>
            </w:pPr>
            <w:r>
              <w:rPr>
                <w:sz w:val="18"/>
                <w:szCs w:val="18"/>
              </w:rPr>
              <w:t>The facility will demonstrate compliance with this standard by conducting routine performance testing required by MACT – Subpart DDDD.</w:t>
            </w:r>
          </w:p>
        </w:tc>
      </w:tr>
      <w:tr w:rsidR="007F1CA2" w14:paraId="05E277BB" w14:textId="77777777" w:rsidTr="00A46162">
        <w:trPr>
          <w:cantSplit/>
          <w:trHeight w:val="632"/>
          <w:jc w:val="center"/>
        </w:trPr>
        <w:tc>
          <w:tcPr>
            <w:tcW w:w="989" w:type="dxa"/>
            <w:vMerge/>
            <w:vAlign w:val="center"/>
          </w:tcPr>
          <w:p w14:paraId="0E1BA9A4" w14:textId="11C7EF45" w:rsidR="007F1CA2" w:rsidRDefault="007F1CA2" w:rsidP="00875014">
            <w:pPr>
              <w:jc w:val="center"/>
              <w:rPr>
                <w:sz w:val="18"/>
                <w:szCs w:val="18"/>
              </w:rPr>
            </w:pPr>
          </w:p>
        </w:tc>
        <w:tc>
          <w:tcPr>
            <w:tcW w:w="1171" w:type="dxa"/>
            <w:vMerge w:val="restart"/>
            <w:vAlign w:val="center"/>
          </w:tcPr>
          <w:p w14:paraId="5647BDBC" w14:textId="41AA2A96" w:rsidR="007F1CA2" w:rsidRDefault="007F1CA2" w:rsidP="00875014">
            <w:pPr>
              <w:jc w:val="center"/>
              <w:rPr>
                <w:sz w:val="18"/>
                <w:szCs w:val="18"/>
              </w:rPr>
            </w:pPr>
            <w:r>
              <w:rPr>
                <w:sz w:val="18"/>
                <w:szCs w:val="18"/>
              </w:rPr>
              <w:t>HAPs</w:t>
            </w:r>
          </w:p>
        </w:tc>
        <w:tc>
          <w:tcPr>
            <w:tcW w:w="3510" w:type="dxa"/>
            <w:vAlign w:val="center"/>
          </w:tcPr>
          <w:p w14:paraId="1946C83D" w14:textId="587F84F9" w:rsidR="007F1CA2" w:rsidRDefault="007F1CA2" w:rsidP="007F1CA2">
            <w:pPr>
              <w:jc w:val="center"/>
              <w:rPr>
                <w:sz w:val="18"/>
                <w:szCs w:val="18"/>
              </w:rPr>
            </w:pPr>
            <w:r w:rsidRPr="00160AE7">
              <w:rPr>
                <w:sz w:val="18"/>
                <w:szCs w:val="18"/>
              </w:rPr>
              <w:t xml:space="preserve">Reduce </w:t>
            </w:r>
            <w:r>
              <w:rPr>
                <w:sz w:val="18"/>
                <w:szCs w:val="18"/>
              </w:rPr>
              <w:t>T</w:t>
            </w:r>
            <w:r w:rsidRPr="00160AE7">
              <w:rPr>
                <w:sz w:val="18"/>
                <w:szCs w:val="18"/>
              </w:rPr>
              <w:t xml:space="preserve">otal HAP </w:t>
            </w:r>
            <w:r>
              <w:rPr>
                <w:sz w:val="18"/>
                <w:szCs w:val="18"/>
              </w:rPr>
              <w:t>E</w:t>
            </w:r>
            <w:r w:rsidRPr="00160AE7">
              <w:rPr>
                <w:sz w:val="18"/>
                <w:szCs w:val="18"/>
              </w:rPr>
              <w:t xml:space="preserve">missions by </w:t>
            </w:r>
            <w:r>
              <w:rPr>
                <w:sz w:val="18"/>
                <w:szCs w:val="18"/>
              </w:rPr>
              <w:t>90% (Minimum)</w:t>
            </w:r>
          </w:p>
        </w:tc>
        <w:tc>
          <w:tcPr>
            <w:tcW w:w="4035" w:type="dxa"/>
            <w:vAlign w:val="center"/>
          </w:tcPr>
          <w:p w14:paraId="4B7C9810" w14:textId="72CA1428" w:rsidR="007F1CA2" w:rsidRDefault="00A46162" w:rsidP="00875014">
            <w:pPr>
              <w:jc w:val="center"/>
              <w:rPr>
                <w:sz w:val="18"/>
                <w:szCs w:val="18"/>
              </w:rPr>
            </w:pPr>
            <w:r>
              <w:rPr>
                <w:sz w:val="18"/>
                <w:szCs w:val="18"/>
              </w:rPr>
              <w:t>The facility must conduct routine performance testing once every five years.</w:t>
            </w:r>
          </w:p>
        </w:tc>
      </w:tr>
      <w:tr w:rsidR="007F1CA2" w14:paraId="22CBA185" w14:textId="77777777" w:rsidTr="00451D24">
        <w:trPr>
          <w:cantSplit/>
          <w:trHeight w:val="701"/>
          <w:jc w:val="center"/>
        </w:trPr>
        <w:tc>
          <w:tcPr>
            <w:tcW w:w="989" w:type="dxa"/>
            <w:vMerge/>
            <w:vAlign w:val="center"/>
          </w:tcPr>
          <w:p w14:paraId="5C17F336" w14:textId="77777777" w:rsidR="007F1CA2" w:rsidRDefault="007F1CA2" w:rsidP="00875014">
            <w:pPr>
              <w:jc w:val="center"/>
              <w:rPr>
                <w:sz w:val="18"/>
                <w:szCs w:val="18"/>
              </w:rPr>
            </w:pPr>
          </w:p>
        </w:tc>
        <w:tc>
          <w:tcPr>
            <w:tcW w:w="1171" w:type="dxa"/>
            <w:vMerge/>
            <w:vAlign w:val="center"/>
          </w:tcPr>
          <w:p w14:paraId="1DDA33E3" w14:textId="77777777" w:rsidR="007F1CA2" w:rsidRDefault="007F1CA2" w:rsidP="00875014">
            <w:pPr>
              <w:jc w:val="center"/>
              <w:rPr>
                <w:sz w:val="18"/>
                <w:szCs w:val="18"/>
              </w:rPr>
            </w:pPr>
          </w:p>
        </w:tc>
        <w:tc>
          <w:tcPr>
            <w:tcW w:w="3510" w:type="dxa"/>
            <w:vAlign w:val="center"/>
          </w:tcPr>
          <w:p w14:paraId="57055A10" w14:textId="3B234442" w:rsidR="007F1CA2" w:rsidRDefault="007F1CA2" w:rsidP="00EE7173">
            <w:pPr>
              <w:jc w:val="center"/>
              <w:rPr>
                <w:sz w:val="18"/>
                <w:szCs w:val="18"/>
              </w:rPr>
            </w:pPr>
            <w:r w:rsidRPr="00160AE7">
              <w:rPr>
                <w:sz w:val="18"/>
                <w:szCs w:val="18"/>
              </w:rPr>
              <w:t>Maintain 3-</w:t>
            </w:r>
            <w:r w:rsidR="00EE7173">
              <w:rPr>
                <w:sz w:val="18"/>
                <w:szCs w:val="18"/>
              </w:rPr>
              <w:t>H</w:t>
            </w:r>
            <w:r w:rsidRPr="00160AE7">
              <w:rPr>
                <w:sz w:val="18"/>
                <w:szCs w:val="18"/>
              </w:rPr>
              <w:t xml:space="preserve">our </w:t>
            </w:r>
            <w:r w:rsidR="00A46162">
              <w:rPr>
                <w:sz w:val="18"/>
                <w:szCs w:val="18"/>
              </w:rPr>
              <w:t>B</w:t>
            </w:r>
            <w:r w:rsidRPr="00160AE7">
              <w:rPr>
                <w:sz w:val="18"/>
                <w:szCs w:val="18"/>
              </w:rPr>
              <w:t xml:space="preserve">lock </w:t>
            </w:r>
            <w:r w:rsidR="00A46162">
              <w:rPr>
                <w:sz w:val="18"/>
                <w:szCs w:val="18"/>
              </w:rPr>
              <w:t>A</w:t>
            </w:r>
            <w:r w:rsidRPr="00160AE7">
              <w:rPr>
                <w:sz w:val="18"/>
                <w:szCs w:val="18"/>
              </w:rPr>
              <w:t xml:space="preserve">verage </w:t>
            </w:r>
            <w:r w:rsidR="00A46162">
              <w:rPr>
                <w:sz w:val="18"/>
                <w:szCs w:val="18"/>
              </w:rPr>
              <w:t>F</w:t>
            </w:r>
            <w:r w:rsidRPr="00160AE7">
              <w:rPr>
                <w:sz w:val="18"/>
                <w:szCs w:val="18"/>
              </w:rPr>
              <w:t xml:space="preserve">irebox </w:t>
            </w:r>
            <w:r w:rsidR="00A46162">
              <w:rPr>
                <w:sz w:val="18"/>
                <w:szCs w:val="18"/>
              </w:rPr>
              <w:t>T</w:t>
            </w:r>
            <w:r w:rsidRPr="00160AE7">
              <w:rPr>
                <w:sz w:val="18"/>
                <w:szCs w:val="18"/>
              </w:rPr>
              <w:t>emperature</w:t>
            </w:r>
          </w:p>
        </w:tc>
        <w:tc>
          <w:tcPr>
            <w:tcW w:w="4035" w:type="dxa"/>
            <w:vAlign w:val="center"/>
          </w:tcPr>
          <w:p w14:paraId="035D0669" w14:textId="4356B6FE" w:rsidR="007F1CA2" w:rsidRDefault="00A46162" w:rsidP="00875014">
            <w:pPr>
              <w:jc w:val="center"/>
              <w:rPr>
                <w:sz w:val="18"/>
                <w:szCs w:val="18"/>
              </w:rPr>
            </w:pPr>
            <w:r>
              <w:rPr>
                <w:sz w:val="18"/>
                <w:szCs w:val="18"/>
              </w:rPr>
              <w:t>The facility will continuously monitor the combustion chamber temperature of the RTO.</w:t>
            </w:r>
          </w:p>
        </w:tc>
      </w:tr>
      <w:tr w:rsidR="000105B5" w14:paraId="3FBBA63B" w14:textId="77777777" w:rsidTr="00EE7173">
        <w:trPr>
          <w:cantSplit/>
          <w:trHeight w:val="908"/>
          <w:jc w:val="center"/>
        </w:trPr>
        <w:tc>
          <w:tcPr>
            <w:tcW w:w="989" w:type="dxa"/>
            <w:vMerge w:val="restart"/>
            <w:vAlign w:val="center"/>
          </w:tcPr>
          <w:p w14:paraId="790027B5" w14:textId="68610D8E" w:rsidR="000105B5" w:rsidRDefault="000105B5" w:rsidP="00711814">
            <w:pPr>
              <w:jc w:val="center"/>
              <w:rPr>
                <w:sz w:val="18"/>
                <w:szCs w:val="18"/>
              </w:rPr>
            </w:pPr>
            <w:r>
              <w:rPr>
                <w:sz w:val="18"/>
                <w:szCs w:val="18"/>
              </w:rPr>
              <w:t>AA-700</w:t>
            </w:r>
          </w:p>
        </w:tc>
        <w:tc>
          <w:tcPr>
            <w:tcW w:w="1171" w:type="dxa"/>
            <w:vAlign w:val="center"/>
          </w:tcPr>
          <w:p w14:paraId="16003408" w14:textId="77777777" w:rsidR="000105B5" w:rsidRDefault="000105B5" w:rsidP="00875014">
            <w:pPr>
              <w:jc w:val="center"/>
              <w:rPr>
                <w:sz w:val="18"/>
                <w:szCs w:val="18"/>
              </w:rPr>
            </w:pPr>
            <w:r w:rsidRPr="00160AE7">
              <w:rPr>
                <w:sz w:val="18"/>
                <w:szCs w:val="18"/>
              </w:rPr>
              <w:t>PM (filterable)</w:t>
            </w:r>
          </w:p>
        </w:tc>
        <w:tc>
          <w:tcPr>
            <w:tcW w:w="3510" w:type="dxa"/>
            <w:vAlign w:val="center"/>
          </w:tcPr>
          <w:p w14:paraId="20D8D254" w14:textId="446FDB52" w:rsidR="000105B5" w:rsidRDefault="000105B5" w:rsidP="00A46162">
            <w:pPr>
              <w:jc w:val="center"/>
              <w:rPr>
                <w:sz w:val="18"/>
                <w:szCs w:val="18"/>
              </w:rPr>
            </w:pPr>
            <w:r w:rsidRPr="00160AE7">
              <w:rPr>
                <w:sz w:val="18"/>
                <w:szCs w:val="18"/>
              </w:rPr>
              <w:t xml:space="preserve">0.30 </w:t>
            </w:r>
            <w:r>
              <w:rPr>
                <w:sz w:val="18"/>
                <w:szCs w:val="18"/>
              </w:rPr>
              <w:t>Grains / D</w:t>
            </w:r>
            <w:r w:rsidRPr="00160AE7">
              <w:rPr>
                <w:sz w:val="18"/>
                <w:szCs w:val="18"/>
              </w:rPr>
              <w:t xml:space="preserve">ry </w:t>
            </w:r>
            <w:r>
              <w:rPr>
                <w:sz w:val="18"/>
                <w:szCs w:val="18"/>
              </w:rPr>
              <w:t>Standard Cubic F</w:t>
            </w:r>
            <w:r w:rsidRPr="00160AE7">
              <w:rPr>
                <w:sz w:val="18"/>
                <w:szCs w:val="18"/>
              </w:rPr>
              <w:t>oot</w:t>
            </w:r>
          </w:p>
        </w:tc>
        <w:tc>
          <w:tcPr>
            <w:tcW w:w="4035" w:type="dxa"/>
            <w:vAlign w:val="center"/>
          </w:tcPr>
          <w:p w14:paraId="39099591" w14:textId="380B03E0" w:rsidR="000105B5" w:rsidRDefault="000105B5" w:rsidP="00875014">
            <w:pPr>
              <w:jc w:val="center"/>
              <w:rPr>
                <w:sz w:val="18"/>
                <w:szCs w:val="18"/>
              </w:rPr>
            </w:pPr>
            <w:r>
              <w:rPr>
                <w:sz w:val="18"/>
                <w:szCs w:val="18"/>
              </w:rPr>
              <w:t xml:space="preserve">The margin of compliance for this standard </w:t>
            </w:r>
            <w:proofErr w:type="gramStart"/>
            <w:r>
              <w:rPr>
                <w:sz w:val="18"/>
                <w:szCs w:val="18"/>
              </w:rPr>
              <w:t>is expected</w:t>
            </w:r>
            <w:proofErr w:type="gramEnd"/>
            <w:r>
              <w:rPr>
                <w:sz w:val="18"/>
                <w:szCs w:val="18"/>
              </w:rPr>
              <w:t xml:space="preserve"> to be significant given that the boiler is equipped with a dry ESP.  </w:t>
            </w:r>
            <w:r w:rsidRPr="00EE7173">
              <w:rPr>
                <w:sz w:val="18"/>
                <w:szCs w:val="18"/>
              </w:rPr>
              <w:t>Therefore</w:t>
            </w:r>
            <w:r>
              <w:rPr>
                <w:sz w:val="18"/>
                <w:szCs w:val="18"/>
              </w:rPr>
              <w:t>, no monitoring requirement is</w:t>
            </w:r>
            <w:r w:rsidRPr="00EE7173">
              <w:rPr>
                <w:sz w:val="18"/>
                <w:szCs w:val="18"/>
              </w:rPr>
              <w:t xml:space="preserve"> necessary</w:t>
            </w:r>
            <w:r>
              <w:rPr>
                <w:sz w:val="18"/>
                <w:szCs w:val="18"/>
              </w:rPr>
              <w:t>.</w:t>
            </w:r>
          </w:p>
        </w:tc>
      </w:tr>
      <w:tr w:rsidR="000105B5" w14:paraId="69AA9F4B" w14:textId="77777777" w:rsidTr="00A46162">
        <w:trPr>
          <w:cantSplit/>
          <w:trHeight w:val="632"/>
          <w:jc w:val="center"/>
        </w:trPr>
        <w:tc>
          <w:tcPr>
            <w:tcW w:w="989" w:type="dxa"/>
            <w:vMerge/>
            <w:vAlign w:val="center"/>
          </w:tcPr>
          <w:p w14:paraId="1CE4F503" w14:textId="5D2FDB0A" w:rsidR="000105B5" w:rsidRDefault="000105B5" w:rsidP="00875014">
            <w:pPr>
              <w:jc w:val="center"/>
              <w:rPr>
                <w:sz w:val="18"/>
                <w:szCs w:val="18"/>
              </w:rPr>
            </w:pPr>
          </w:p>
        </w:tc>
        <w:tc>
          <w:tcPr>
            <w:tcW w:w="1171" w:type="dxa"/>
            <w:vAlign w:val="center"/>
          </w:tcPr>
          <w:p w14:paraId="169823D2" w14:textId="77777777" w:rsidR="000105B5" w:rsidRDefault="000105B5" w:rsidP="00875014">
            <w:pPr>
              <w:jc w:val="center"/>
              <w:rPr>
                <w:sz w:val="18"/>
                <w:szCs w:val="18"/>
              </w:rPr>
            </w:pPr>
            <w:r>
              <w:rPr>
                <w:sz w:val="18"/>
                <w:szCs w:val="18"/>
              </w:rPr>
              <w:t>SO</w:t>
            </w:r>
            <w:r w:rsidRPr="00C33BFF">
              <w:rPr>
                <w:sz w:val="18"/>
                <w:szCs w:val="18"/>
                <w:vertAlign w:val="subscript"/>
              </w:rPr>
              <w:t>2</w:t>
            </w:r>
          </w:p>
        </w:tc>
        <w:tc>
          <w:tcPr>
            <w:tcW w:w="3510" w:type="dxa"/>
            <w:vAlign w:val="center"/>
          </w:tcPr>
          <w:p w14:paraId="65A2FDD0" w14:textId="58285B56" w:rsidR="000105B5" w:rsidRDefault="000105B5" w:rsidP="00875014">
            <w:pPr>
              <w:jc w:val="center"/>
              <w:rPr>
                <w:sz w:val="18"/>
                <w:szCs w:val="18"/>
              </w:rPr>
            </w:pPr>
            <w:r>
              <w:rPr>
                <w:sz w:val="18"/>
                <w:szCs w:val="18"/>
              </w:rPr>
              <w:t>4.8 lbs. / MMBTU</w:t>
            </w:r>
          </w:p>
        </w:tc>
        <w:tc>
          <w:tcPr>
            <w:tcW w:w="4035" w:type="dxa"/>
            <w:vAlign w:val="center"/>
          </w:tcPr>
          <w:p w14:paraId="38EFFC30" w14:textId="3363BB88" w:rsidR="000105B5" w:rsidRDefault="000105B5" w:rsidP="00875014">
            <w:pPr>
              <w:jc w:val="center"/>
              <w:rPr>
                <w:sz w:val="18"/>
                <w:szCs w:val="18"/>
              </w:rPr>
            </w:pPr>
            <w:r>
              <w:rPr>
                <w:sz w:val="18"/>
                <w:szCs w:val="18"/>
              </w:rPr>
              <w:t xml:space="preserve">The facility will monitor the sulfur content of each fuel source combusted. </w:t>
            </w:r>
          </w:p>
        </w:tc>
      </w:tr>
      <w:tr w:rsidR="000105B5" w14:paraId="13621CBA" w14:textId="77777777" w:rsidTr="00A46162">
        <w:trPr>
          <w:cantSplit/>
          <w:trHeight w:val="632"/>
          <w:jc w:val="center"/>
        </w:trPr>
        <w:tc>
          <w:tcPr>
            <w:tcW w:w="989" w:type="dxa"/>
            <w:vMerge w:val="restart"/>
            <w:vAlign w:val="center"/>
          </w:tcPr>
          <w:p w14:paraId="51ADE2A0" w14:textId="3A437438" w:rsidR="000105B5" w:rsidRDefault="000105B5" w:rsidP="00875014">
            <w:pPr>
              <w:jc w:val="center"/>
              <w:rPr>
                <w:sz w:val="18"/>
                <w:szCs w:val="18"/>
              </w:rPr>
            </w:pPr>
            <w:r>
              <w:rPr>
                <w:sz w:val="18"/>
                <w:szCs w:val="18"/>
              </w:rPr>
              <w:lastRenderedPageBreak/>
              <w:t>AA-700</w:t>
            </w:r>
          </w:p>
        </w:tc>
        <w:tc>
          <w:tcPr>
            <w:tcW w:w="1171" w:type="dxa"/>
            <w:vAlign w:val="center"/>
          </w:tcPr>
          <w:p w14:paraId="16DC00EC" w14:textId="04E159E4" w:rsidR="000105B5" w:rsidRDefault="000105B5" w:rsidP="00875014">
            <w:pPr>
              <w:jc w:val="center"/>
              <w:rPr>
                <w:sz w:val="18"/>
                <w:szCs w:val="18"/>
              </w:rPr>
            </w:pPr>
            <w:r>
              <w:rPr>
                <w:sz w:val="18"/>
                <w:szCs w:val="18"/>
              </w:rPr>
              <w:t>Fuel Restriction</w:t>
            </w:r>
          </w:p>
        </w:tc>
        <w:tc>
          <w:tcPr>
            <w:tcW w:w="3510" w:type="dxa"/>
            <w:vAlign w:val="center"/>
          </w:tcPr>
          <w:p w14:paraId="111C2DB0" w14:textId="34FD3B3C" w:rsidR="000105B5" w:rsidRDefault="000105B5" w:rsidP="009A2D73">
            <w:pPr>
              <w:jc w:val="center"/>
              <w:rPr>
                <w:sz w:val="18"/>
                <w:szCs w:val="18"/>
              </w:rPr>
            </w:pPr>
            <w:r>
              <w:rPr>
                <w:sz w:val="18"/>
                <w:szCs w:val="18"/>
              </w:rPr>
              <w:t>Only Combust Bark, Wood Residuals, and Natural Gas</w:t>
            </w:r>
          </w:p>
        </w:tc>
        <w:tc>
          <w:tcPr>
            <w:tcW w:w="4035" w:type="dxa"/>
            <w:vAlign w:val="center"/>
          </w:tcPr>
          <w:p w14:paraId="01116526" w14:textId="3A7949B7" w:rsidR="000105B5" w:rsidRDefault="000105B5" w:rsidP="00875014">
            <w:pPr>
              <w:jc w:val="center"/>
              <w:rPr>
                <w:sz w:val="18"/>
                <w:szCs w:val="18"/>
              </w:rPr>
            </w:pPr>
            <w:r>
              <w:rPr>
                <w:sz w:val="18"/>
                <w:szCs w:val="18"/>
              </w:rPr>
              <w:t>The facility will monitor and record the quantity of each fuel combusted on a monthly basis.</w:t>
            </w:r>
          </w:p>
        </w:tc>
      </w:tr>
      <w:tr w:rsidR="000105B5" w14:paraId="08373BB0" w14:textId="77777777" w:rsidTr="00E5298B">
        <w:trPr>
          <w:cantSplit/>
          <w:trHeight w:val="737"/>
          <w:jc w:val="center"/>
        </w:trPr>
        <w:tc>
          <w:tcPr>
            <w:tcW w:w="989" w:type="dxa"/>
            <w:vMerge/>
            <w:vAlign w:val="center"/>
          </w:tcPr>
          <w:p w14:paraId="35F4CEB5" w14:textId="670B5EDF" w:rsidR="000105B5" w:rsidRDefault="000105B5" w:rsidP="00875014">
            <w:pPr>
              <w:jc w:val="center"/>
              <w:rPr>
                <w:sz w:val="18"/>
                <w:szCs w:val="18"/>
              </w:rPr>
            </w:pPr>
          </w:p>
        </w:tc>
        <w:tc>
          <w:tcPr>
            <w:tcW w:w="1171" w:type="dxa"/>
            <w:vAlign w:val="center"/>
          </w:tcPr>
          <w:p w14:paraId="4536D1C0" w14:textId="77777777" w:rsidR="000105B5" w:rsidRPr="004E1057" w:rsidRDefault="000105B5" w:rsidP="004E1057">
            <w:pPr>
              <w:jc w:val="center"/>
              <w:rPr>
                <w:sz w:val="18"/>
                <w:szCs w:val="18"/>
              </w:rPr>
            </w:pPr>
            <w:r>
              <w:rPr>
                <w:sz w:val="18"/>
                <w:szCs w:val="18"/>
              </w:rPr>
              <w:t>PM / PM</w:t>
            </w:r>
            <w:r w:rsidRPr="00BE53A0">
              <w:rPr>
                <w:sz w:val="18"/>
                <w:szCs w:val="18"/>
                <w:vertAlign w:val="subscript"/>
              </w:rPr>
              <w:t>10</w:t>
            </w:r>
          </w:p>
          <w:p w14:paraId="0BAAD182" w14:textId="4D18A320" w:rsidR="000105B5" w:rsidRDefault="000105B5" w:rsidP="004E1057">
            <w:pPr>
              <w:jc w:val="center"/>
              <w:rPr>
                <w:sz w:val="18"/>
                <w:szCs w:val="18"/>
              </w:rPr>
            </w:pPr>
            <w:r>
              <w:rPr>
                <w:sz w:val="18"/>
                <w:szCs w:val="18"/>
              </w:rPr>
              <w:t>(filterable)</w:t>
            </w:r>
          </w:p>
        </w:tc>
        <w:tc>
          <w:tcPr>
            <w:tcW w:w="3510" w:type="dxa"/>
            <w:vAlign w:val="center"/>
          </w:tcPr>
          <w:p w14:paraId="195ADFA0" w14:textId="77777777" w:rsidR="000105B5" w:rsidRDefault="000105B5" w:rsidP="00875014">
            <w:pPr>
              <w:jc w:val="center"/>
              <w:rPr>
                <w:sz w:val="18"/>
                <w:szCs w:val="18"/>
              </w:rPr>
            </w:pPr>
            <w:r>
              <w:rPr>
                <w:sz w:val="18"/>
                <w:szCs w:val="18"/>
              </w:rPr>
              <w:t xml:space="preserve">122.8 lbs. / hour; and </w:t>
            </w:r>
          </w:p>
          <w:p w14:paraId="68B19022" w14:textId="77777777" w:rsidR="000105B5" w:rsidRPr="009A2D73" w:rsidRDefault="000105B5" w:rsidP="00875014">
            <w:pPr>
              <w:jc w:val="center"/>
              <w:rPr>
                <w:sz w:val="10"/>
                <w:szCs w:val="10"/>
              </w:rPr>
            </w:pPr>
          </w:p>
          <w:p w14:paraId="333418A2" w14:textId="2A2D300D" w:rsidR="000105B5" w:rsidRDefault="000105B5" w:rsidP="00875014">
            <w:pPr>
              <w:jc w:val="center"/>
              <w:rPr>
                <w:sz w:val="18"/>
                <w:szCs w:val="18"/>
              </w:rPr>
            </w:pPr>
            <w:r>
              <w:rPr>
                <w:sz w:val="18"/>
                <w:szCs w:val="18"/>
              </w:rPr>
              <w:t>537.9 tpy (Rolling 12-Month Total)</w:t>
            </w:r>
          </w:p>
        </w:tc>
        <w:tc>
          <w:tcPr>
            <w:tcW w:w="4035" w:type="dxa"/>
            <w:vAlign w:val="center"/>
          </w:tcPr>
          <w:p w14:paraId="70A1BF5D" w14:textId="08745FA9" w:rsidR="000105B5" w:rsidRDefault="000105B5" w:rsidP="00875014">
            <w:pPr>
              <w:jc w:val="center"/>
              <w:rPr>
                <w:sz w:val="18"/>
                <w:szCs w:val="18"/>
              </w:rPr>
            </w:pPr>
            <w:r>
              <w:rPr>
                <w:sz w:val="18"/>
                <w:szCs w:val="18"/>
              </w:rPr>
              <w:t>The facility will demonstrate compliance with this limit by conducting routine performance testing required by MACT – Subpart DDDDD.</w:t>
            </w:r>
          </w:p>
        </w:tc>
      </w:tr>
      <w:tr w:rsidR="000105B5" w14:paraId="4A404D53" w14:textId="77777777" w:rsidTr="00E5298B">
        <w:trPr>
          <w:cantSplit/>
          <w:trHeight w:val="764"/>
          <w:jc w:val="center"/>
        </w:trPr>
        <w:tc>
          <w:tcPr>
            <w:tcW w:w="989" w:type="dxa"/>
            <w:vMerge/>
            <w:vAlign w:val="center"/>
          </w:tcPr>
          <w:p w14:paraId="49F98DCD" w14:textId="6EF524B6" w:rsidR="000105B5" w:rsidRDefault="000105B5" w:rsidP="00875014">
            <w:pPr>
              <w:jc w:val="center"/>
              <w:rPr>
                <w:sz w:val="18"/>
                <w:szCs w:val="18"/>
              </w:rPr>
            </w:pPr>
          </w:p>
        </w:tc>
        <w:tc>
          <w:tcPr>
            <w:tcW w:w="1171" w:type="dxa"/>
            <w:vAlign w:val="center"/>
          </w:tcPr>
          <w:p w14:paraId="05C1DA87" w14:textId="77777777" w:rsidR="000105B5" w:rsidRDefault="000105B5" w:rsidP="00875014">
            <w:pPr>
              <w:jc w:val="center"/>
              <w:rPr>
                <w:sz w:val="18"/>
                <w:szCs w:val="18"/>
              </w:rPr>
            </w:pPr>
            <w:proofErr w:type="spellStart"/>
            <w:r>
              <w:rPr>
                <w:sz w:val="18"/>
                <w:szCs w:val="18"/>
              </w:rPr>
              <w:t>HCl</w:t>
            </w:r>
            <w:proofErr w:type="spellEnd"/>
          </w:p>
        </w:tc>
        <w:tc>
          <w:tcPr>
            <w:tcW w:w="3510" w:type="dxa"/>
            <w:vAlign w:val="center"/>
          </w:tcPr>
          <w:p w14:paraId="78E9137A" w14:textId="3E8A4D92" w:rsidR="000105B5" w:rsidRDefault="000105B5" w:rsidP="00875014">
            <w:pPr>
              <w:jc w:val="center"/>
              <w:rPr>
                <w:sz w:val="18"/>
                <w:szCs w:val="18"/>
              </w:rPr>
            </w:pPr>
            <w:r>
              <w:rPr>
                <w:sz w:val="18"/>
                <w:szCs w:val="18"/>
              </w:rPr>
              <w:t>0.022 lbs. / MMBTU of Heat Input</w:t>
            </w:r>
          </w:p>
        </w:tc>
        <w:tc>
          <w:tcPr>
            <w:tcW w:w="4035" w:type="dxa"/>
            <w:vAlign w:val="center"/>
          </w:tcPr>
          <w:p w14:paraId="209D367E" w14:textId="1EC25BAD" w:rsidR="000105B5" w:rsidRDefault="000105B5" w:rsidP="00875014">
            <w:pPr>
              <w:jc w:val="center"/>
              <w:rPr>
                <w:sz w:val="18"/>
                <w:szCs w:val="18"/>
              </w:rPr>
            </w:pPr>
            <w:r>
              <w:rPr>
                <w:sz w:val="18"/>
                <w:szCs w:val="18"/>
              </w:rPr>
              <w:t>The facility will demonstrate compliance by conducting routine performance testing (either biennial or once every three years).</w:t>
            </w:r>
          </w:p>
        </w:tc>
      </w:tr>
      <w:tr w:rsidR="000105B5" w14:paraId="40F15AB2" w14:textId="77777777" w:rsidTr="00E5298B">
        <w:trPr>
          <w:cantSplit/>
          <w:trHeight w:val="782"/>
          <w:jc w:val="center"/>
        </w:trPr>
        <w:tc>
          <w:tcPr>
            <w:tcW w:w="989" w:type="dxa"/>
            <w:vMerge/>
            <w:vAlign w:val="center"/>
          </w:tcPr>
          <w:p w14:paraId="1FE342EB" w14:textId="544C462A" w:rsidR="000105B5" w:rsidRDefault="000105B5" w:rsidP="00875014">
            <w:pPr>
              <w:jc w:val="center"/>
              <w:rPr>
                <w:sz w:val="18"/>
                <w:szCs w:val="18"/>
              </w:rPr>
            </w:pPr>
          </w:p>
        </w:tc>
        <w:tc>
          <w:tcPr>
            <w:tcW w:w="1171" w:type="dxa"/>
            <w:vAlign w:val="center"/>
          </w:tcPr>
          <w:p w14:paraId="6C8AFC12" w14:textId="77777777" w:rsidR="000105B5" w:rsidRDefault="000105B5" w:rsidP="00875014">
            <w:pPr>
              <w:jc w:val="center"/>
              <w:rPr>
                <w:sz w:val="18"/>
                <w:szCs w:val="18"/>
              </w:rPr>
            </w:pPr>
            <w:r>
              <w:rPr>
                <w:sz w:val="18"/>
                <w:szCs w:val="18"/>
              </w:rPr>
              <w:t>Hg</w:t>
            </w:r>
          </w:p>
        </w:tc>
        <w:tc>
          <w:tcPr>
            <w:tcW w:w="3510" w:type="dxa"/>
            <w:vAlign w:val="center"/>
          </w:tcPr>
          <w:p w14:paraId="2AF5426A" w14:textId="7E9AEBD6" w:rsidR="000105B5" w:rsidRDefault="000105B5" w:rsidP="00875014">
            <w:pPr>
              <w:jc w:val="center"/>
              <w:rPr>
                <w:sz w:val="18"/>
                <w:szCs w:val="18"/>
              </w:rPr>
            </w:pPr>
            <w:r>
              <w:rPr>
                <w:sz w:val="18"/>
                <w:szCs w:val="18"/>
              </w:rPr>
              <w:t>0.0000057 lbs. / MMBTU of Heat Input</w:t>
            </w:r>
          </w:p>
        </w:tc>
        <w:tc>
          <w:tcPr>
            <w:tcW w:w="4035" w:type="dxa"/>
            <w:vAlign w:val="center"/>
          </w:tcPr>
          <w:p w14:paraId="1E01AA5C" w14:textId="48BA691C" w:rsidR="000105B5" w:rsidRDefault="000105B5" w:rsidP="00875014">
            <w:pPr>
              <w:jc w:val="center"/>
              <w:rPr>
                <w:sz w:val="18"/>
                <w:szCs w:val="18"/>
              </w:rPr>
            </w:pPr>
            <w:r>
              <w:rPr>
                <w:sz w:val="18"/>
                <w:szCs w:val="18"/>
              </w:rPr>
              <w:t>The facility will demonstrate compliance by conducting routine performance testing (either biennial or once every three years).</w:t>
            </w:r>
          </w:p>
        </w:tc>
      </w:tr>
      <w:tr w:rsidR="000105B5" w14:paraId="396B0E60" w14:textId="77777777" w:rsidTr="00A46162">
        <w:trPr>
          <w:cantSplit/>
          <w:trHeight w:val="632"/>
          <w:jc w:val="center"/>
        </w:trPr>
        <w:tc>
          <w:tcPr>
            <w:tcW w:w="989" w:type="dxa"/>
            <w:vMerge/>
            <w:vAlign w:val="center"/>
          </w:tcPr>
          <w:p w14:paraId="06313F40" w14:textId="01CF1293" w:rsidR="000105B5" w:rsidRDefault="000105B5" w:rsidP="00875014">
            <w:pPr>
              <w:jc w:val="center"/>
              <w:rPr>
                <w:sz w:val="18"/>
                <w:szCs w:val="18"/>
              </w:rPr>
            </w:pPr>
          </w:p>
        </w:tc>
        <w:tc>
          <w:tcPr>
            <w:tcW w:w="1171" w:type="dxa"/>
            <w:vAlign w:val="center"/>
          </w:tcPr>
          <w:p w14:paraId="2A5432E6" w14:textId="77777777" w:rsidR="000105B5" w:rsidRDefault="000105B5" w:rsidP="00875014">
            <w:pPr>
              <w:jc w:val="center"/>
              <w:rPr>
                <w:sz w:val="18"/>
                <w:szCs w:val="18"/>
              </w:rPr>
            </w:pPr>
            <w:r>
              <w:rPr>
                <w:sz w:val="18"/>
                <w:szCs w:val="18"/>
              </w:rPr>
              <w:t>CO</w:t>
            </w:r>
          </w:p>
        </w:tc>
        <w:tc>
          <w:tcPr>
            <w:tcW w:w="3510" w:type="dxa"/>
            <w:vAlign w:val="center"/>
          </w:tcPr>
          <w:p w14:paraId="7B316151" w14:textId="7162D474" w:rsidR="000105B5" w:rsidRDefault="000105B5" w:rsidP="00DA0F35">
            <w:pPr>
              <w:jc w:val="center"/>
              <w:rPr>
                <w:sz w:val="18"/>
                <w:szCs w:val="18"/>
              </w:rPr>
            </w:pPr>
            <w:r>
              <w:rPr>
                <w:sz w:val="18"/>
                <w:szCs w:val="18"/>
              </w:rPr>
              <w:t>3,500 ppm By Volume on a Dry Basis Corrected to 3% Oxygen (3-Run Avg.)</w:t>
            </w:r>
          </w:p>
        </w:tc>
        <w:tc>
          <w:tcPr>
            <w:tcW w:w="4035" w:type="dxa"/>
            <w:vMerge w:val="restart"/>
            <w:vAlign w:val="center"/>
          </w:tcPr>
          <w:p w14:paraId="306F505F" w14:textId="46EB2D3B" w:rsidR="000105B5" w:rsidRDefault="000105B5" w:rsidP="00875014">
            <w:pPr>
              <w:jc w:val="center"/>
              <w:rPr>
                <w:sz w:val="18"/>
                <w:szCs w:val="18"/>
              </w:rPr>
            </w:pPr>
            <w:r>
              <w:rPr>
                <w:sz w:val="18"/>
                <w:szCs w:val="18"/>
              </w:rPr>
              <w:t>The facility will demonstrate compliance by conducting routine performance testing (either biennial or once every three years).</w:t>
            </w:r>
          </w:p>
        </w:tc>
      </w:tr>
      <w:tr w:rsidR="000105B5" w14:paraId="2110EC44" w14:textId="77777777" w:rsidTr="00A46162">
        <w:trPr>
          <w:cantSplit/>
          <w:trHeight w:val="632"/>
          <w:jc w:val="center"/>
        </w:trPr>
        <w:tc>
          <w:tcPr>
            <w:tcW w:w="989" w:type="dxa"/>
            <w:vMerge/>
            <w:vAlign w:val="center"/>
          </w:tcPr>
          <w:p w14:paraId="5B1345C0" w14:textId="77777777" w:rsidR="000105B5" w:rsidRDefault="000105B5" w:rsidP="00875014">
            <w:pPr>
              <w:jc w:val="center"/>
              <w:rPr>
                <w:sz w:val="18"/>
                <w:szCs w:val="18"/>
              </w:rPr>
            </w:pPr>
          </w:p>
        </w:tc>
        <w:tc>
          <w:tcPr>
            <w:tcW w:w="1171" w:type="dxa"/>
            <w:vAlign w:val="center"/>
          </w:tcPr>
          <w:p w14:paraId="0D67BE87" w14:textId="77777777" w:rsidR="000105B5" w:rsidRDefault="000105B5" w:rsidP="00875014">
            <w:pPr>
              <w:jc w:val="center"/>
              <w:rPr>
                <w:sz w:val="18"/>
                <w:szCs w:val="18"/>
              </w:rPr>
            </w:pPr>
            <w:r>
              <w:rPr>
                <w:sz w:val="18"/>
                <w:szCs w:val="18"/>
              </w:rPr>
              <w:t>PM (filterable)</w:t>
            </w:r>
          </w:p>
        </w:tc>
        <w:tc>
          <w:tcPr>
            <w:tcW w:w="3510" w:type="dxa"/>
            <w:vAlign w:val="center"/>
          </w:tcPr>
          <w:p w14:paraId="60050A79" w14:textId="3E2FCB34" w:rsidR="000105B5" w:rsidRDefault="000105B5" w:rsidP="00875014">
            <w:pPr>
              <w:jc w:val="center"/>
              <w:rPr>
                <w:sz w:val="18"/>
                <w:szCs w:val="18"/>
              </w:rPr>
            </w:pPr>
            <w:r>
              <w:rPr>
                <w:sz w:val="18"/>
                <w:szCs w:val="18"/>
              </w:rPr>
              <w:t>0.44 lbs. / MMBTU of Heat Input</w:t>
            </w:r>
          </w:p>
        </w:tc>
        <w:tc>
          <w:tcPr>
            <w:tcW w:w="4035" w:type="dxa"/>
            <w:vMerge/>
            <w:vAlign w:val="center"/>
          </w:tcPr>
          <w:p w14:paraId="3C6F9E19" w14:textId="77777777" w:rsidR="000105B5" w:rsidRDefault="000105B5" w:rsidP="00875014">
            <w:pPr>
              <w:jc w:val="center"/>
              <w:rPr>
                <w:sz w:val="18"/>
                <w:szCs w:val="18"/>
              </w:rPr>
            </w:pPr>
          </w:p>
        </w:tc>
      </w:tr>
      <w:tr w:rsidR="000105B5" w14:paraId="6E2F64B3" w14:textId="77777777" w:rsidTr="00451D24">
        <w:trPr>
          <w:cantSplit/>
          <w:trHeight w:val="773"/>
          <w:jc w:val="center"/>
        </w:trPr>
        <w:tc>
          <w:tcPr>
            <w:tcW w:w="989" w:type="dxa"/>
            <w:vMerge/>
            <w:vAlign w:val="center"/>
          </w:tcPr>
          <w:p w14:paraId="5765B684" w14:textId="77777777" w:rsidR="000105B5" w:rsidRDefault="000105B5" w:rsidP="00875014">
            <w:pPr>
              <w:jc w:val="center"/>
              <w:rPr>
                <w:sz w:val="18"/>
                <w:szCs w:val="18"/>
              </w:rPr>
            </w:pPr>
          </w:p>
        </w:tc>
        <w:tc>
          <w:tcPr>
            <w:tcW w:w="1171" w:type="dxa"/>
            <w:vAlign w:val="center"/>
          </w:tcPr>
          <w:p w14:paraId="7417CC74" w14:textId="19E12A9A" w:rsidR="000105B5" w:rsidRDefault="000105B5" w:rsidP="008F367E">
            <w:pPr>
              <w:jc w:val="center"/>
              <w:rPr>
                <w:sz w:val="18"/>
                <w:szCs w:val="18"/>
              </w:rPr>
            </w:pPr>
            <w:r>
              <w:rPr>
                <w:sz w:val="18"/>
                <w:szCs w:val="18"/>
              </w:rPr>
              <w:t>Oxygen Content</w:t>
            </w:r>
          </w:p>
        </w:tc>
        <w:tc>
          <w:tcPr>
            <w:tcW w:w="3510" w:type="dxa"/>
            <w:vAlign w:val="center"/>
          </w:tcPr>
          <w:p w14:paraId="500B6A90" w14:textId="11B45B88" w:rsidR="000105B5" w:rsidRDefault="000105B5" w:rsidP="004E1057">
            <w:pPr>
              <w:jc w:val="center"/>
              <w:rPr>
                <w:sz w:val="18"/>
                <w:szCs w:val="18"/>
              </w:rPr>
            </w:pPr>
            <w:r w:rsidRPr="008F367E">
              <w:rPr>
                <w:sz w:val="18"/>
                <w:szCs w:val="18"/>
              </w:rPr>
              <w:t xml:space="preserve">Maintain the </w:t>
            </w:r>
            <w:r>
              <w:rPr>
                <w:sz w:val="18"/>
                <w:szCs w:val="18"/>
              </w:rPr>
              <w:t>O</w:t>
            </w:r>
            <w:r w:rsidRPr="008F367E">
              <w:rPr>
                <w:sz w:val="18"/>
                <w:szCs w:val="18"/>
              </w:rPr>
              <w:t xml:space="preserve">xygen </w:t>
            </w:r>
            <w:r>
              <w:rPr>
                <w:sz w:val="18"/>
                <w:szCs w:val="18"/>
              </w:rPr>
              <w:t>Content</w:t>
            </w:r>
            <w:r w:rsidRPr="008F367E">
              <w:rPr>
                <w:sz w:val="18"/>
                <w:szCs w:val="18"/>
              </w:rPr>
              <w:t xml:space="preserve"> </w:t>
            </w:r>
            <w:r>
              <w:rPr>
                <w:sz w:val="18"/>
                <w:szCs w:val="18"/>
              </w:rPr>
              <w:t>At</w:t>
            </w:r>
            <w:r w:rsidRPr="008F367E">
              <w:rPr>
                <w:sz w:val="18"/>
                <w:szCs w:val="18"/>
              </w:rPr>
              <w:t xml:space="preserve"> or </w:t>
            </w:r>
            <w:r>
              <w:rPr>
                <w:sz w:val="18"/>
                <w:szCs w:val="18"/>
              </w:rPr>
              <w:t>A</w:t>
            </w:r>
            <w:r w:rsidRPr="008F367E">
              <w:rPr>
                <w:sz w:val="18"/>
                <w:szCs w:val="18"/>
              </w:rPr>
              <w:t xml:space="preserve">bove the </w:t>
            </w:r>
            <w:r>
              <w:rPr>
                <w:sz w:val="18"/>
                <w:szCs w:val="18"/>
              </w:rPr>
              <w:t>L</w:t>
            </w:r>
            <w:r w:rsidRPr="008F367E">
              <w:rPr>
                <w:sz w:val="18"/>
                <w:szCs w:val="18"/>
              </w:rPr>
              <w:t xml:space="preserve">owest </w:t>
            </w:r>
            <w:r>
              <w:rPr>
                <w:sz w:val="18"/>
                <w:szCs w:val="18"/>
              </w:rPr>
              <w:t>H</w:t>
            </w:r>
            <w:r w:rsidRPr="008F367E">
              <w:rPr>
                <w:sz w:val="18"/>
                <w:szCs w:val="18"/>
              </w:rPr>
              <w:t xml:space="preserve">ourly </w:t>
            </w:r>
            <w:r>
              <w:rPr>
                <w:sz w:val="18"/>
                <w:szCs w:val="18"/>
              </w:rPr>
              <w:t>A</w:t>
            </w:r>
            <w:r w:rsidRPr="008F367E">
              <w:rPr>
                <w:sz w:val="18"/>
                <w:szCs w:val="18"/>
              </w:rPr>
              <w:t xml:space="preserve">verage </w:t>
            </w:r>
            <w:r>
              <w:rPr>
                <w:sz w:val="18"/>
                <w:szCs w:val="18"/>
              </w:rPr>
              <w:t>O</w:t>
            </w:r>
            <w:r w:rsidRPr="008F367E">
              <w:rPr>
                <w:sz w:val="18"/>
                <w:szCs w:val="18"/>
              </w:rPr>
              <w:t xml:space="preserve">xygen </w:t>
            </w:r>
            <w:r>
              <w:rPr>
                <w:sz w:val="18"/>
                <w:szCs w:val="18"/>
              </w:rPr>
              <w:t>C</w:t>
            </w:r>
            <w:r w:rsidRPr="008F367E">
              <w:rPr>
                <w:sz w:val="18"/>
                <w:szCs w:val="18"/>
              </w:rPr>
              <w:t>o</w:t>
            </w:r>
            <w:r>
              <w:rPr>
                <w:sz w:val="18"/>
                <w:szCs w:val="18"/>
              </w:rPr>
              <w:t>ntent Measured During a CO Performance T</w:t>
            </w:r>
            <w:r w:rsidRPr="008F367E">
              <w:rPr>
                <w:sz w:val="18"/>
                <w:szCs w:val="18"/>
              </w:rPr>
              <w:t>est</w:t>
            </w:r>
          </w:p>
        </w:tc>
        <w:tc>
          <w:tcPr>
            <w:tcW w:w="4035" w:type="dxa"/>
            <w:vMerge w:val="restart"/>
            <w:vAlign w:val="center"/>
          </w:tcPr>
          <w:p w14:paraId="6103E9DB" w14:textId="24C78043" w:rsidR="000105B5" w:rsidRDefault="000105B5" w:rsidP="00875014">
            <w:pPr>
              <w:jc w:val="center"/>
              <w:rPr>
                <w:sz w:val="18"/>
                <w:szCs w:val="18"/>
              </w:rPr>
            </w:pPr>
            <w:r>
              <w:rPr>
                <w:sz w:val="18"/>
                <w:szCs w:val="18"/>
              </w:rPr>
              <w:t>The facility will demonstrate continuous compliance with the operating limits by monitoring and recording data from applicable continuous parameter monitoring systems.</w:t>
            </w:r>
          </w:p>
        </w:tc>
      </w:tr>
      <w:tr w:rsidR="000105B5" w14:paraId="63291950" w14:textId="77777777" w:rsidTr="00B2115B">
        <w:trPr>
          <w:cantSplit/>
          <w:trHeight w:val="980"/>
          <w:jc w:val="center"/>
        </w:trPr>
        <w:tc>
          <w:tcPr>
            <w:tcW w:w="989" w:type="dxa"/>
            <w:vMerge/>
            <w:vAlign w:val="center"/>
          </w:tcPr>
          <w:p w14:paraId="06772CCA" w14:textId="77777777" w:rsidR="000105B5" w:rsidRDefault="000105B5" w:rsidP="00875014">
            <w:pPr>
              <w:jc w:val="center"/>
              <w:rPr>
                <w:sz w:val="18"/>
                <w:szCs w:val="18"/>
              </w:rPr>
            </w:pPr>
          </w:p>
        </w:tc>
        <w:tc>
          <w:tcPr>
            <w:tcW w:w="1171" w:type="dxa"/>
            <w:vAlign w:val="center"/>
          </w:tcPr>
          <w:p w14:paraId="24FDE520" w14:textId="6CAFCF96" w:rsidR="000105B5" w:rsidRDefault="000105B5" w:rsidP="008F367E">
            <w:pPr>
              <w:jc w:val="center"/>
              <w:rPr>
                <w:sz w:val="18"/>
                <w:szCs w:val="18"/>
              </w:rPr>
            </w:pPr>
            <w:r>
              <w:rPr>
                <w:sz w:val="18"/>
                <w:szCs w:val="18"/>
              </w:rPr>
              <w:t>Opacity</w:t>
            </w:r>
          </w:p>
        </w:tc>
        <w:tc>
          <w:tcPr>
            <w:tcW w:w="3510" w:type="dxa"/>
            <w:vAlign w:val="center"/>
          </w:tcPr>
          <w:p w14:paraId="3B4BC8C1" w14:textId="13A6EA30" w:rsidR="000105B5" w:rsidRDefault="000105B5" w:rsidP="00B2115B">
            <w:pPr>
              <w:jc w:val="center"/>
              <w:rPr>
                <w:sz w:val="18"/>
                <w:szCs w:val="18"/>
              </w:rPr>
            </w:pPr>
            <w:r w:rsidRPr="00B2115B">
              <w:rPr>
                <w:sz w:val="18"/>
                <w:szCs w:val="18"/>
              </w:rPr>
              <w:t xml:space="preserve">Maintain the </w:t>
            </w:r>
            <w:r>
              <w:rPr>
                <w:sz w:val="18"/>
                <w:szCs w:val="18"/>
              </w:rPr>
              <w:t>Opacity to Less Than or Equal to Either 10% or the Highest Hourly Average Opacity R</w:t>
            </w:r>
            <w:r w:rsidRPr="00B2115B">
              <w:rPr>
                <w:sz w:val="18"/>
                <w:szCs w:val="18"/>
              </w:rPr>
              <w:t>eading</w:t>
            </w:r>
            <w:r>
              <w:rPr>
                <w:sz w:val="18"/>
                <w:szCs w:val="18"/>
              </w:rPr>
              <w:t xml:space="preserve"> Measured During a PM or Hg P</w:t>
            </w:r>
            <w:r w:rsidRPr="00B2115B">
              <w:rPr>
                <w:sz w:val="18"/>
                <w:szCs w:val="18"/>
              </w:rPr>
              <w:t>erformance</w:t>
            </w:r>
            <w:r>
              <w:rPr>
                <w:sz w:val="18"/>
                <w:szCs w:val="18"/>
              </w:rPr>
              <w:t xml:space="preserve"> Test</w:t>
            </w:r>
          </w:p>
        </w:tc>
        <w:tc>
          <w:tcPr>
            <w:tcW w:w="4035" w:type="dxa"/>
            <w:vMerge/>
            <w:vAlign w:val="center"/>
          </w:tcPr>
          <w:p w14:paraId="65615C91" w14:textId="77777777" w:rsidR="000105B5" w:rsidRDefault="000105B5" w:rsidP="00875014">
            <w:pPr>
              <w:jc w:val="center"/>
              <w:rPr>
                <w:sz w:val="18"/>
                <w:szCs w:val="18"/>
              </w:rPr>
            </w:pPr>
          </w:p>
        </w:tc>
      </w:tr>
      <w:tr w:rsidR="000105B5" w14:paraId="7566F235" w14:textId="77777777" w:rsidTr="00B2115B">
        <w:trPr>
          <w:cantSplit/>
          <w:trHeight w:val="980"/>
          <w:jc w:val="center"/>
        </w:trPr>
        <w:tc>
          <w:tcPr>
            <w:tcW w:w="989" w:type="dxa"/>
            <w:vMerge/>
            <w:vAlign w:val="center"/>
          </w:tcPr>
          <w:p w14:paraId="2CCFA7DB" w14:textId="77777777" w:rsidR="000105B5" w:rsidRDefault="000105B5" w:rsidP="00875014">
            <w:pPr>
              <w:jc w:val="center"/>
              <w:rPr>
                <w:sz w:val="18"/>
                <w:szCs w:val="18"/>
              </w:rPr>
            </w:pPr>
          </w:p>
        </w:tc>
        <w:tc>
          <w:tcPr>
            <w:tcW w:w="1171" w:type="dxa"/>
            <w:vAlign w:val="center"/>
          </w:tcPr>
          <w:p w14:paraId="35674132" w14:textId="29BA2EAF" w:rsidR="000105B5" w:rsidRDefault="000105B5" w:rsidP="008F367E">
            <w:pPr>
              <w:jc w:val="center"/>
              <w:rPr>
                <w:sz w:val="18"/>
                <w:szCs w:val="18"/>
              </w:rPr>
            </w:pPr>
            <w:r>
              <w:rPr>
                <w:sz w:val="18"/>
                <w:szCs w:val="18"/>
              </w:rPr>
              <w:t>Boiler Load</w:t>
            </w:r>
          </w:p>
        </w:tc>
        <w:tc>
          <w:tcPr>
            <w:tcW w:w="3510" w:type="dxa"/>
            <w:vAlign w:val="center"/>
          </w:tcPr>
          <w:p w14:paraId="553CDD53" w14:textId="6084CD1C" w:rsidR="000105B5" w:rsidRDefault="000105B5" w:rsidP="00024ABA">
            <w:pPr>
              <w:jc w:val="center"/>
              <w:rPr>
                <w:sz w:val="18"/>
                <w:szCs w:val="18"/>
              </w:rPr>
            </w:pPr>
            <w:r w:rsidRPr="00B2115B">
              <w:rPr>
                <w:sz w:val="18"/>
                <w:szCs w:val="18"/>
              </w:rPr>
              <w:t>Maintain the 30-</w:t>
            </w:r>
            <w:r>
              <w:rPr>
                <w:sz w:val="18"/>
                <w:szCs w:val="18"/>
              </w:rPr>
              <w:t>Day Rolling A</w:t>
            </w:r>
            <w:r w:rsidRPr="00B2115B">
              <w:rPr>
                <w:sz w:val="18"/>
                <w:szCs w:val="18"/>
              </w:rPr>
              <w:t xml:space="preserve">verage </w:t>
            </w:r>
            <w:r>
              <w:rPr>
                <w:sz w:val="18"/>
                <w:szCs w:val="18"/>
              </w:rPr>
              <w:t>Operating Load Such That It Does Not E</w:t>
            </w:r>
            <w:r w:rsidRPr="00B2115B">
              <w:rPr>
                <w:sz w:val="18"/>
                <w:szCs w:val="18"/>
              </w:rPr>
              <w:t xml:space="preserve">xceed </w:t>
            </w:r>
            <w:r>
              <w:rPr>
                <w:sz w:val="18"/>
                <w:szCs w:val="18"/>
              </w:rPr>
              <w:t>110% of the Highest Hour Average Operating Load Recorded D</w:t>
            </w:r>
            <w:r w:rsidRPr="00B2115B">
              <w:rPr>
                <w:sz w:val="18"/>
                <w:szCs w:val="18"/>
              </w:rPr>
              <w:t>uring a</w:t>
            </w:r>
            <w:r>
              <w:rPr>
                <w:sz w:val="18"/>
                <w:szCs w:val="18"/>
              </w:rPr>
              <w:t xml:space="preserve"> Performance T</w:t>
            </w:r>
            <w:r w:rsidRPr="00B2115B">
              <w:rPr>
                <w:sz w:val="18"/>
                <w:szCs w:val="18"/>
              </w:rPr>
              <w:t>est</w:t>
            </w:r>
          </w:p>
        </w:tc>
        <w:tc>
          <w:tcPr>
            <w:tcW w:w="4035" w:type="dxa"/>
            <w:vMerge/>
            <w:vAlign w:val="center"/>
          </w:tcPr>
          <w:p w14:paraId="1B03A1E8" w14:textId="77777777" w:rsidR="000105B5" w:rsidRDefault="000105B5" w:rsidP="00875014">
            <w:pPr>
              <w:jc w:val="center"/>
              <w:rPr>
                <w:sz w:val="18"/>
                <w:szCs w:val="18"/>
              </w:rPr>
            </w:pPr>
          </w:p>
        </w:tc>
      </w:tr>
      <w:tr w:rsidR="00004CA5" w14:paraId="0465227A" w14:textId="77777777" w:rsidTr="00A46162">
        <w:trPr>
          <w:cantSplit/>
          <w:trHeight w:val="632"/>
          <w:jc w:val="center"/>
        </w:trPr>
        <w:tc>
          <w:tcPr>
            <w:tcW w:w="989" w:type="dxa"/>
            <w:vMerge w:val="restart"/>
            <w:vAlign w:val="center"/>
          </w:tcPr>
          <w:p w14:paraId="7F08C6E7" w14:textId="02A8A957" w:rsidR="00004CA5" w:rsidRDefault="00004CA5" w:rsidP="00875014">
            <w:pPr>
              <w:jc w:val="center"/>
              <w:rPr>
                <w:sz w:val="18"/>
                <w:szCs w:val="18"/>
              </w:rPr>
            </w:pPr>
            <w:r>
              <w:rPr>
                <w:sz w:val="18"/>
                <w:szCs w:val="18"/>
              </w:rPr>
              <w:t>AA-900</w:t>
            </w:r>
          </w:p>
        </w:tc>
        <w:tc>
          <w:tcPr>
            <w:tcW w:w="1171" w:type="dxa"/>
            <w:vAlign w:val="center"/>
          </w:tcPr>
          <w:p w14:paraId="4623DDD5" w14:textId="77777777" w:rsidR="004E1057" w:rsidRDefault="00004CA5" w:rsidP="004E1057">
            <w:pPr>
              <w:jc w:val="center"/>
              <w:rPr>
                <w:sz w:val="18"/>
                <w:szCs w:val="18"/>
              </w:rPr>
            </w:pPr>
            <w:r>
              <w:rPr>
                <w:sz w:val="18"/>
                <w:szCs w:val="18"/>
              </w:rPr>
              <w:t>PM</w:t>
            </w:r>
          </w:p>
          <w:p w14:paraId="0EC398C9" w14:textId="0714DB0B" w:rsidR="00004CA5" w:rsidRDefault="00004CA5" w:rsidP="004E1057">
            <w:pPr>
              <w:jc w:val="center"/>
              <w:rPr>
                <w:sz w:val="18"/>
                <w:szCs w:val="18"/>
              </w:rPr>
            </w:pPr>
            <w:r>
              <w:rPr>
                <w:sz w:val="18"/>
                <w:szCs w:val="18"/>
              </w:rPr>
              <w:t>(filterable)</w:t>
            </w:r>
          </w:p>
        </w:tc>
        <w:tc>
          <w:tcPr>
            <w:tcW w:w="3510" w:type="dxa"/>
            <w:vAlign w:val="center"/>
          </w:tcPr>
          <w:p w14:paraId="00C91D15" w14:textId="07036A8B" w:rsidR="00004CA5" w:rsidRPr="00DA0F35" w:rsidRDefault="00004CA5" w:rsidP="00DA0F35">
            <w:pPr>
              <w:jc w:val="center"/>
              <w:rPr>
                <w:sz w:val="18"/>
                <w:szCs w:val="18"/>
              </w:rPr>
            </w:pPr>
            <w:r>
              <w:rPr>
                <w:sz w:val="18"/>
                <w:szCs w:val="18"/>
              </w:rPr>
              <w:t>E = 0.8808(I</w:t>
            </w:r>
            <w:r w:rsidRPr="00507AF0">
              <w:rPr>
                <w:sz w:val="18"/>
                <w:szCs w:val="18"/>
                <w:vertAlign w:val="superscript"/>
              </w:rPr>
              <w:t>-0.1667</w:t>
            </w:r>
            <w:r>
              <w:rPr>
                <w:sz w:val="18"/>
                <w:szCs w:val="18"/>
              </w:rPr>
              <w:t>)</w:t>
            </w:r>
          </w:p>
        </w:tc>
        <w:tc>
          <w:tcPr>
            <w:tcW w:w="4035" w:type="dxa"/>
            <w:vMerge w:val="restart"/>
            <w:vAlign w:val="center"/>
          </w:tcPr>
          <w:p w14:paraId="3E6D5BBC" w14:textId="229B7895" w:rsidR="00004CA5" w:rsidRDefault="00004CA5" w:rsidP="00004CA5">
            <w:pPr>
              <w:jc w:val="center"/>
              <w:rPr>
                <w:sz w:val="18"/>
                <w:szCs w:val="18"/>
              </w:rPr>
            </w:pPr>
            <w:r w:rsidRPr="00004CA5">
              <w:rPr>
                <w:sz w:val="18"/>
                <w:szCs w:val="18"/>
              </w:rPr>
              <w:t>The margin of comp</w:t>
            </w:r>
            <w:r>
              <w:rPr>
                <w:sz w:val="18"/>
                <w:szCs w:val="18"/>
              </w:rPr>
              <w:t xml:space="preserve">liance for these </w:t>
            </w:r>
            <w:r w:rsidRPr="00004CA5">
              <w:rPr>
                <w:sz w:val="18"/>
                <w:szCs w:val="18"/>
              </w:rPr>
              <w:t>standard</w:t>
            </w:r>
            <w:r>
              <w:rPr>
                <w:sz w:val="18"/>
                <w:szCs w:val="18"/>
              </w:rPr>
              <w:t>s</w:t>
            </w:r>
            <w:r w:rsidRPr="00004CA5">
              <w:rPr>
                <w:sz w:val="18"/>
                <w:szCs w:val="18"/>
              </w:rPr>
              <w:t xml:space="preserve"> is expected to be significant given that the </w:t>
            </w:r>
            <w:r>
              <w:rPr>
                <w:sz w:val="18"/>
                <w:szCs w:val="18"/>
              </w:rPr>
              <w:t>turbine solely combusts natural gas.</w:t>
            </w:r>
          </w:p>
        </w:tc>
      </w:tr>
      <w:tr w:rsidR="00004CA5" w14:paraId="387B7736" w14:textId="77777777" w:rsidTr="00F166FD">
        <w:trPr>
          <w:cantSplit/>
          <w:trHeight w:val="602"/>
          <w:jc w:val="center"/>
        </w:trPr>
        <w:tc>
          <w:tcPr>
            <w:tcW w:w="989" w:type="dxa"/>
            <w:vMerge/>
            <w:vAlign w:val="center"/>
          </w:tcPr>
          <w:p w14:paraId="36E865D5" w14:textId="1AC1A1FA" w:rsidR="00004CA5" w:rsidRDefault="00004CA5" w:rsidP="00875014">
            <w:pPr>
              <w:jc w:val="center"/>
              <w:rPr>
                <w:sz w:val="18"/>
                <w:szCs w:val="18"/>
              </w:rPr>
            </w:pPr>
          </w:p>
        </w:tc>
        <w:tc>
          <w:tcPr>
            <w:tcW w:w="1171" w:type="dxa"/>
            <w:vAlign w:val="center"/>
          </w:tcPr>
          <w:p w14:paraId="0C97691C" w14:textId="77777777" w:rsidR="00004CA5" w:rsidRDefault="00004CA5" w:rsidP="00875014">
            <w:pPr>
              <w:jc w:val="center"/>
              <w:rPr>
                <w:sz w:val="18"/>
                <w:szCs w:val="18"/>
              </w:rPr>
            </w:pPr>
            <w:r>
              <w:rPr>
                <w:sz w:val="18"/>
                <w:szCs w:val="18"/>
              </w:rPr>
              <w:t>SO</w:t>
            </w:r>
            <w:r w:rsidRPr="00C33BFF">
              <w:rPr>
                <w:sz w:val="18"/>
                <w:szCs w:val="18"/>
                <w:vertAlign w:val="subscript"/>
              </w:rPr>
              <w:t>2</w:t>
            </w:r>
          </w:p>
        </w:tc>
        <w:tc>
          <w:tcPr>
            <w:tcW w:w="3510" w:type="dxa"/>
            <w:vAlign w:val="center"/>
          </w:tcPr>
          <w:p w14:paraId="27A80AA6" w14:textId="4F902576" w:rsidR="00004CA5" w:rsidRDefault="00004CA5" w:rsidP="00875014">
            <w:pPr>
              <w:jc w:val="center"/>
              <w:rPr>
                <w:sz w:val="18"/>
                <w:szCs w:val="18"/>
              </w:rPr>
            </w:pPr>
            <w:r>
              <w:rPr>
                <w:sz w:val="18"/>
                <w:szCs w:val="18"/>
              </w:rPr>
              <w:t>4.8 lbs</w:t>
            </w:r>
            <w:r w:rsidR="00323665">
              <w:rPr>
                <w:sz w:val="18"/>
                <w:szCs w:val="18"/>
              </w:rPr>
              <w:t xml:space="preserve">. </w:t>
            </w:r>
            <w:r>
              <w:rPr>
                <w:sz w:val="18"/>
                <w:szCs w:val="18"/>
              </w:rPr>
              <w:t>/</w:t>
            </w:r>
            <w:r w:rsidR="00323665">
              <w:rPr>
                <w:sz w:val="18"/>
                <w:szCs w:val="18"/>
              </w:rPr>
              <w:t xml:space="preserve"> MMBTU</w:t>
            </w:r>
          </w:p>
        </w:tc>
        <w:tc>
          <w:tcPr>
            <w:tcW w:w="4035" w:type="dxa"/>
            <w:vMerge/>
            <w:vAlign w:val="center"/>
          </w:tcPr>
          <w:p w14:paraId="74AD53F9" w14:textId="31B6F1B9" w:rsidR="00004CA5" w:rsidRDefault="00004CA5" w:rsidP="00004CA5">
            <w:pPr>
              <w:jc w:val="center"/>
              <w:rPr>
                <w:sz w:val="18"/>
                <w:szCs w:val="18"/>
              </w:rPr>
            </w:pPr>
          </w:p>
        </w:tc>
      </w:tr>
      <w:tr w:rsidR="00DA0F35" w14:paraId="3DD1C9BB" w14:textId="77777777" w:rsidTr="00F166FD">
        <w:trPr>
          <w:cantSplit/>
          <w:trHeight w:val="1070"/>
          <w:jc w:val="center"/>
        </w:trPr>
        <w:tc>
          <w:tcPr>
            <w:tcW w:w="989" w:type="dxa"/>
            <w:vMerge/>
            <w:vAlign w:val="center"/>
          </w:tcPr>
          <w:p w14:paraId="739920EA" w14:textId="530B3A36" w:rsidR="00DA0F35" w:rsidRDefault="00DA0F35" w:rsidP="00875014">
            <w:pPr>
              <w:jc w:val="center"/>
              <w:rPr>
                <w:sz w:val="18"/>
                <w:szCs w:val="18"/>
              </w:rPr>
            </w:pPr>
          </w:p>
        </w:tc>
        <w:tc>
          <w:tcPr>
            <w:tcW w:w="1171" w:type="dxa"/>
            <w:vAlign w:val="center"/>
          </w:tcPr>
          <w:p w14:paraId="5490AA17" w14:textId="7CEF6DF9" w:rsidR="00DA0F35" w:rsidRDefault="00DA0F35" w:rsidP="00DA0F35">
            <w:pPr>
              <w:jc w:val="center"/>
              <w:rPr>
                <w:sz w:val="18"/>
                <w:szCs w:val="18"/>
              </w:rPr>
            </w:pPr>
            <w:r>
              <w:rPr>
                <w:sz w:val="18"/>
                <w:szCs w:val="18"/>
              </w:rPr>
              <w:t>NO</w:t>
            </w:r>
            <w:r>
              <w:rPr>
                <w:sz w:val="18"/>
                <w:szCs w:val="18"/>
                <w:vertAlign w:val="subscript"/>
              </w:rPr>
              <w:t>X</w:t>
            </w:r>
          </w:p>
        </w:tc>
        <w:tc>
          <w:tcPr>
            <w:tcW w:w="3510" w:type="dxa"/>
            <w:vAlign w:val="center"/>
          </w:tcPr>
          <w:p w14:paraId="4CDA2293" w14:textId="305A6509" w:rsidR="00DA0F35" w:rsidRDefault="00DA0F35" w:rsidP="00DA0F35">
            <w:pPr>
              <w:tabs>
                <w:tab w:val="left" w:pos="-1213"/>
                <w:tab w:val="left" w:pos="-720"/>
                <w:tab w:val="left" w:pos="0"/>
                <w:tab w:val="left" w:pos="810"/>
              </w:tabs>
              <w:jc w:val="center"/>
              <w:rPr>
                <w:sz w:val="18"/>
                <w:szCs w:val="18"/>
              </w:rPr>
            </w:pPr>
            <w:r>
              <w:rPr>
                <w:sz w:val="18"/>
                <w:szCs w:val="18"/>
              </w:rPr>
              <w:t>25 ppm at 15% Oxygen (Combustion Turbine); and</w:t>
            </w:r>
          </w:p>
          <w:p w14:paraId="16E2E3F6" w14:textId="77777777" w:rsidR="00DA0F35" w:rsidRPr="00DA0F35" w:rsidRDefault="00DA0F35" w:rsidP="00DA0F35">
            <w:pPr>
              <w:tabs>
                <w:tab w:val="left" w:pos="-1213"/>
                <w:tab w:val="left" w:pos="-720"/>
                <w:tab w:val="left" w:pos="0"/>
                <w:tab w:val="left" w:pos="810"/>
              </w:tabs>
              <w:jc w:val="center"/>
              <w:rPr>
                <w:sz w:val="10"/>
                <w:szCs w:val="10"/>
              </w:rPr>
            </w:pPr>
          </w:p>
          <w:p w14:paraId="676D42A8" w14:textId="40156670" w:rsidR="00DA0F35" w:rsidRDefault="00DA0F35" w:rsidP="00DA0F35">
            <w:pPr>
              <w:jc w:val="center"/>
              <w:rPr>
                <w:sz w:val="18"/>
                <w:szCs w:val="18"/>
              </w:rPr>
            </w:pPr>
            <w:r>
              <w:rPr>
                <w:sz w:val="18"/>
                <w:szCs w:val="18"/>
              </w:rPr>
              <w:t>54 ppm at 15% Oxygen (HRSG Operating Independently)</w:t>
            </w:r>
          </w:p>
        </w:tc>
        <w:tc>
          <w:tcPr>
            <w:tcW w:w="4035" w:type="dxa"/>
            <w:vAlign w:val="center"/>
          </w:tcPr>
          <w:p w14:paraId="65A31E64" w14:textId="01C7C14C" w:rsidR="00DA0F35" w:rsidRDefault="00DA0F35" w:rsidP="00DA0F35">
            <w:pPr>
              <w:jc w:val="center"/>
              <w:rPr>
                <w:sz w:val="18"/>
                <w:szCs w:val="18"/>
              </w:rPr>
            </w:pPr>
            <w:r w:rsidRPr="00DA0F35">
              <w:rPr>
                <w:sz w:val="18"/>
                <w:szCs w:val="18"/>
              </w:rPr>
              <w:t>The facility will demonstrate compliance by conducting performance testing</w:t>
            </w:r>
            <w:r>
              <w:rPr>
                <w:sz w:val="18"/>
                <w:szCs w:val="18"/>
              </w:rPr>
              <w:t xml:space="preserve"> on an annual basis.</w:t>
            </w:r>
          </w:p>
        </w:tc>
      </w:tr>
      <w:tr w:rsidR="00DA0F35" w14:paraId="1F3E0AE2" w14:textId="77777777" w:rsidTr="00A46162">
        <w:trPr>
          <w:cantSplit/>
          <w:trHeight w:val="632"/>
          <w:jc w:val="center"/>
        </w:trPr>
        <w:tc>
          <w:tcPr>
            <w:tcW w:w="989" w:type="dxa"/>
            <w:vMerge/>
            <w:vAlign w:val="center"/>
          </w:tcPr>
          <w:p w14:paraId="3434D7E3" w14:textId="77777777" w:rsidR="00DA0F35" w:rsidRDefault="00DA0F35" w:rsidP="00875014">
            <w:pPr>
              <w:jc w:val="center"/>
              <w:rPr>
                <w:sz w:val="18"/>
                <w:szCs w:val="18"/>
              </w:rPr>
            </w:pPr>
          </w:p>
        </w:tc>
        <w:tc>
          <w:tcPr>
            <w:tcW w:w="1171" w:type="dxa"/>
            <w:vAlign w:val="center"/>
          </w:tcPr>
          <w:p w14:paraId="6A4AE7D8" w14:textId="77777777" w:rsidR="00DA0F35" w:rsidRDefault="00DA0F35" w:rsidP="00875014">
            <w:pPr>
              <w:jc w:val="center"/>
              <w:rPr>
                <w:sz w:val="18"/>
                <w:szCs w:val="18"/>
              </w:rPr>
            </w:pPr>
            <w:r>
              <w:rPr>
                <w:sz w:val="18"/>
                <w:szCs w:val="18"/>
              </w:rPr>
              <w:t>SO</w:t>
            </w:r>
            <w:r w:rsidRPr="00C33BFF">
              <w:rPr>
                <w:sz w:val="18"/>
                <w:szCs w:val="18"/>
                <w:vertAlign w:val="subscript"/>
              </w:rPr>
              <w:t>2</w:t>
            </w:r>
          </w:p>
        </w:tc>
        <w:tc>
          <w:tcPr>
            <w:tcW w:w="3510" w:type="dxa"/>
            <w:vAlign w:val="center"/>
          </w:tcPr>
          <w:p w14:paraId="56AD3524" w14:textId="14128512" w:rsidR="00DA0F35" w:rsidRDefault="00DA0F35" w:rsidP="00875014">
            <w:pPr>
              <w:jc w:val="center"/>
              <w:rPr>
                <w:sz w:val="18"/>
                <w:szCs w:val="18"/>
              </w:rPr>
            </w:pPr>
            <w:r>
              <w:rPr>
                <w:sz w:val="18"/>
                <w:szCs w:val="18"/>
              </w:rPr>
              <w:t>0.060 lbs. / MMBTU Heat Input</w:t>
            </w:r>
          </w:p>
        </w:tc>
        <w:tc>
          <w:tcPr>
            <w:tcW w:w="4035" w:type="dxa"/>
            <w:vAlign w:val="center"/>
          </w:tcPr>
          <w:p w14:paraId="4DDC8097" w14:textId="00C56C40" w:rsidR="00DA0F35" w:rsidRDefault="00004CA5" w:rsidP="00004CA5">
            <w:pPr>
              <w:jc w:val="center"/>
              <w:rPr>
                <w:sz w:val="18"/>
                <w:szCs w:val="18"/>
              </w:rPr>
            </w:pPr>
            <w:r>
              <w:rPr>
                <w:sz w:val="18"/>
                <w:szCs w:val="18"/>
              </w:rPr>
              <w:t>The facility will maintain documentation on the f</w:t>
            </w:r>
            <w:r w:rsidR="00DA0F35" w:rsidRPr="00EB275F">
              <w:rPr>
                <w:sz w:val="18"/>
                <w:szCs w:val="18"/>
              </w:rPr>
              <w:t>uel quality characteristics</w:t>
            </w:r>
            <w:r>
              <w:rPr>
                <w:sz w:val="18"/>
                <w:szCs w:val="18"/>
              </w:rPr>
              <w:t>.</w:t>
            </w:r>
          </w:p>
        </w:tc>
      </w:tr>
    </w:tbl>
    <w:p w14:paraId="2A343467" w14:textId="77777777" w:rsidR="00531513" w:rsidRDefault="00531513" w:rsidP="00531513">
      <w:pPr>
        <w:rPr>
          <w:sz w:val="24"/>
          <w:szCs w:val="24"/>
        </w:rPr>
      </w:pPr>
    </w:p>
    <w:p w14:paraId="2FCB2504" w14:textId="77777777" w:rsidR="00531513" w:rsidRDefault="00531513" w:rsidP="00104CE2">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jc w:val="both"/>
        <w:rPr>
          <w:sz w:val="24"/>
          <w:szCs w:val="24"/>
          <w:u w:val="single"/>
        </w:rPr>
      </w:pPr>
      <w:r w:rsidRPr="0048090B">
        <w:rPr>
          <w:sz w:val="24"/>
          <w:szCs w:val="24"/>
          <w:u w:val="single"/>
        </w:rPr>
        <w:t xml:space="preserve">OTHER </w:t>
      </w:r>
      <w:r w:rsidR="0048090B" w:rsidRPr="0048090B">
        <w:rPr>
          <w:sz w:val="24"/>
          <w:szCs w:val="24"/>
          <w:u w:val="single"/>
        </w:rPr>
        <w:t>REQUIREMENTS</w:t>
      </w:r>
      <w:r w:rsidRPr="0048090B">
        <w:rPr>
          <w:sz w:val="24"/>
          <w:szCs w:val="24"/>
          <w:u w:val="single"/>
        </w:rPr>
        <w:t>:</w:t>
      </w:r>
    </w:p>
    <w:p w14:paraId="1F57DCE0" w14:textId="37BBBAA3" w:rsidR="00BA3BCF" w:rsidRPr="00047625" w:rsidRDefault="00047625" w:rsidP="00047625">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spacing w:before="120"/>
        <w:jc w:val="both"/>
        <w:rPr>
          <w:sz w:val="28"/>
          <w:szCs w:val="28"/>
        </w:rPr>
      </w:pPr>
      <w:r>
        <w:rPr>
          <w:sz w:val="24"/>
          <w:szCs w:val="24"/>
        </w:rPr>
        <w:t xml:space="preserve">The proposed permit contains requirements for the facility to calculate and maintain the annual emission of </w:t>
      </w:r>
      <w:r w:rsidRPr="00047625">
        <w:rPr>
          <w:sz w:val="24"/>
          <w:szCs w:val="24"/>
        </w:rPr>
        <w:t>PM</w:t>
      </w:r>
      <w:r w:rsidRPr="00047625">
        <w:rPr>
          <w:sz w:val="22"/>
          <w:szCs w:val="22"/>
          <w:vertAlign w:val="subscript"/>
        </w:rPr>
        <w:t>10</w:t>
      </w:r>
      <w:r w:rsidRPr="00047625">
        <w:rPr>
          <w:sz w:val="24"/>
          <w:szCs w:val="24"/>
        </w:rPr>
        <w:t>, PM</w:t>
      </w:r>
      <w:r w:rsidRPr="00047625">
        <w:rPr>
          <w:sz w:val="22"/>
          <w:szCs w:val="22"/>
          <w:vertAlign w:val="subscript"/>
        </w:rPr>
        <w:t>2.5</w:t>
      </w:r>
      <w:r w:rsidRPr="00047625">
        <w:rPr>
          <w:sz w:val="22"/>
          <w:szCs w:val="22"/>
        </w:rPr>
        <w:t xml:space="preserve">, </w:t>
      </w:r>
      <w:r w:rsidRPr="00047625">
        <w:rPr>
          <w:sz w:val="24"/>
          <w:szCs w:val="24"/>
        </w:rPr>
        <w:t>and VOC</w:t>
      </w:r>
      <w:r w:rsidR="007D0876">
        <w:rPr>
          <w:sz w:val="24"/>
          <w:szCs w:val="24"/>
        </w:rPr>
        <w:t>s</w:t>
      </w:r>
      <w:r>
        <w:rPr>
          <w:sz w:val="24"/>
          <w:szCs w:val="24"/>
        </w:rPr>
        <w:t xml:space="preserve"> </w:t>
      </w:r>
      <w:r w:rsidR="007D0876">
        <w:rPr>
          <w:sz w:val="24"/>
          <w:szCs w:val="24"/>
        </w:rPr>
        <w:t xml:space="preserve">(based on a 12-month calendar year basis) </w:t>
      </w:r>
      <w:proofErr w:type="gramStart"/>
      <w:r>
        <w:rPr>
          <w:sz w:val="24"/>
          <w:szCs w:val="24"/>
        </w:rPr>
        <w:t>as a result</w:t>
      </w:r>
      <w:proofErr w:type="gramEnd"/>
      <w:r>
        <w:rPr>
          <w:sz w:val="24"/>
          <w:szCs w:val="24"/>
        </w:rPr>
        <w:t xml:space="preserve"> of the construction project approved in the Permit to Construct </w:t>
      </w:r>
      <w:r w:rsidR="008D4D85">
        <w:rPr>
          <w:sz w:val="24"/>
          <w:szCs w:val="24"/>
        </w:rPr>
        <w:t xml:space="preserve">Air Emissions Equipment </w:t>
      </w:r>
      <w:r>
        <w:rPr>
          <w:sz w:val="24"/>
          <w:szCs w:val="24"/>
        </w:rPr>
        <w:t xml:space="preserve">issued April 22, 2019.  This </w:t>
      </w:r>
      <w:r w:rsidR="007D0876">
        <w:rPr>
          <w:sz w:val="24"/>
          <w:szCs w:val="24"/>
        </w:rPr>
        <w:t xml:space="preserve">evaluation </w:t>
      </w:r>
      <w:proofErr w:type="gramStart"/>
      <w:r w:rsidR="007D0876">
        <w:rPr>
          <w:sz w:val="24"/>
          <w:szCs w:val="24"/>
        </w:rPr>
        <w:t>will be conducted</w:t>
      </w:r>
      <w:proofErr w:type="gramEnd"/>
      <w:r w:rsidR="007D0876">
        <w:rPr>
          <w:sz w:val="24"/>
          <w:szCs w:val="24"/>
        </w:rPr>
        <w:t xml:space="preserve"> for </w:t>
      </w:r>
      <w:r>
        <w:rPr>
          <w:sz w:val="24"/>
          <w:szCs w:val="24"/>
        </w:rPr>
        <w:t xml:space="preserve">a 5-year period once operations resume after the permitted modifications are completed.  The facility will submit a report to the </w:t>
      </w:r>
      <w:r w:rsidR="008D4D85">
        <w:rPr>
          <w:sz w:val="24"/>
          <w:szCs w:val="24"/>
        </w:rPr>
        <w:t>M</w:t>
      </w:r>
      <w:r>
        <w:rPr>
          <w:sz w:val="24"/>
          <w:szCs w:val="24"/>
        </w:rPr>
        <w:t xml:space="preserve">DEQ no later </w:t>
      </w:r>
      <w:r>
        <w:rPr>
          <w:sz w:val="24"/>
          <w:szCs w:val="24"/>
        </w:rPr>
        <w:lastRenderedPageBreak/>
        <w:t>than March 1 of each year for the preceding calendar year if the calculated annual emissions meet the criteria specified in the permit</w:t>
      </w:r>
      <w:r w:rsidR="00711814">
        <w:rPr>
          <w:sz w:val="24"/>
          <w:szCs w:val="24"/>
        </w:rPr>
        <w:t xml:space="preserve"> once all projects are complete.</w:t>
      </w:r>
    </w:p>
    <w:p w14:paraId="08C14FBA" w14:textId="77777777" w:rsidR="00BA3BCF" w:rsidRPr="00BA3BCF" w:rsidRDefault="00BA3BCF" w:rsidP="00BA3BCF">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jc w:val="both"/>
        <w:rPr>
          <w:sz w:val="32"/>
          <w:szCs w:val="24"/>
        </w:rPr>
      </w:pPr>
    </w:p>
    <w:sectPr w:rsidR="00BA3BCF" w:rsidRPr="00BA3BCF" w:rsidSect="00421490">
      <w:headerReference w:type="default" r:id="rId7"/>
      <w:footerReference w:type="default" r:id="rId8"/>
      <w:pgSz w:w="12240" w:h="15840" w:code="1"/>
      <w:pgMar w:top="1440" w:right="1440" w:bottom="1440" w:left="144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08ECD" w14:textId="77777777" w:rsidR="00993A87" w:rsidRDefault="00993A87">
      <w:r>
        <w:separator/>
      </w:r>
    </w:p>
  </w:endnote>
  <w:endnote w:type="continuationSeparator" w:id="0">
    <w:p w14:paraId="4C19135F" w14:textId="77777777" w:rsidR="00993A87" w:rsidRDefault="0099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A5BF" w14:textId="77777777" w:rsidR="009A2D73" w:rsidRPr="008A426E" w:rsidRDefault="009A2D73">
    <w:pPr>
      <w:pStyle w:val="Footer"/>
      <w:tabs>
        <w:tab w:val="clear" w:pos="8640"/>
        <w:tab w:val="right" w:pos="9270"/>
      </w:tabs>
    </w:pPr>
    <w:bookmarkStart w:id="1" w:name="aiid"/>
    <w:r w:rsidRPr="008A426E">
      <w:t>913</w:t>
    </w:r>
    <w:bookmarkEnd w:id="1"/>
    <w:r w:rsidRPr="008A426E">
      <w:t xml:space="preserve"> PER20200001</w:t>
    </w:r>
    <w:r w:rsidRPr="008A426E">
      <w:tab/>
    </w:r>
    <w:r w:rsidRPr="008A426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5CF7A" w14:textId="77777777" w:rsidR="00993A87" w:rsidRDefault="00993A87">
      <w:r>
        <w:separator/>
      </w:r>
    </w:p>
  </w:footnote>
  <w:footnote w:type="continuationSeparator" w:id="0">
    <w:p w14:paraId="67F8699D" w14:textId="77777777" w:rsidR="00993A87" w:rsidRDefault="0099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836F" w14:textId="77777777" w:rsidR="009A2D73" w:rsidRPr="00BC4760" w:rsidRDefault="009A2D73">
    <w:pPr>
      <w:pStyle w:val="Header"/>
      <w:jc w:val="right"/>
      <w:rPr>
        <w:sz w:val="24"/>
        <w:szCs w:val="24"/>
      </w:rPr>
    </w:pPr>
    <w:r w:rsidRPr="00BC4760">
      <w:rPr>
        <w:sz w:val="24"/>
        <w:szCs w:val="24"/>
      </w:rPr>
      <w:t>Information Relative to the Title V Permit</w:t>
    </w:r>
  </w:p>
  <w:p w14:paraId="62B8F963" w14:textId="4271AB36" w:rsidR="009A2D73" w:rsidRDefault="009A2D73">
    <w:pPr>
      <w:pStyle w:val="Header"/>
      <w:jc w:val="right"/>
    </w:pPr>
    <w:r w:rsidRPr="00BC4760">
      <w:rPr>
        <w:sz w:val="24"/>
        <w:szCs w:val="24"/>
      </w:rPr>
      <w:t xml:space="preserve">Page </w:t>
    </w:r>
    <w:r w:rsidRPr="00BC4760">
      <w:rPr>
        <w:bCs/>
        <w:sz w:val="24"/>
        <w:szCs w:val="24"/>
      </w:rPr>
      <w:fldChar w:fldCharType="begin"/>
    </w:r>
    <w:r w:rsidRPr="00BC4760">
      <w:rPr>
        <w:bCs/>
        <w:sz w:val="24"/>
        <w:szCs w:val="24"/>
      </w:rPr>
      <w:instrText xml:space="preserve"> PAGE </w:instrText>
    </w:r>
    <w:r w:rsidRPr="00BC4760">
      <w:rPr>
        <w:bCs/>
        <w:sz w:val="24"/>
        <w:szCs w:val="24"/>
      </w:rPr>
      <w:fldChar w:fldCharType="separate"/>
    </w:r>
    <w:r w:rsidR="00105CCE">
      <w:rPr>
        <w:bCs/>
        <w:noProof/>
        <w:sz w:val="24"/>
        <w:szCs w:val="24"/>
      </w:rPr>
      <w:t>11</w:t>
    </w:r>
    <w:r w:rsidRPr="00BC4760">
      <w:rPr>
        <w:bCs/>
        <w:sz w:val="24"/>
        <w:szCs w:val="24"/>
      </w:rPr>
      <w:fldChar w:fldCharType="end"/>
    </w:r>
    <w:r w:rsidRPr="00BC4760">
      <w:rPr>
        <w:sz w:val="24"/>
        <w:szCs w:val="24"/>
      </w:rPr>
      <w:t xml:space="preserve"> of </w:t>
    </w:r>
    <w:r w:rsidRPr="00BC4760">
      <w:rPr>
        <w:bCs/>
        <w:sz w:val="24"/>
        <w:szCs w:val="24"/>
      </w:rPr>
      <w:fldChar w:fldCharType="begin"/>
    </w:r>
    <w:r w:rsidRPr="00BC4760">
      <w:rPr>
        <w:bCs/>
        <w:sz w:val="24"/>
        <w:szCs w:val="24"/>
      </w:rPr>
      <w:instrText xml:space="preserve"> NUMPAGES  </w:instrText>
    </w:r>
    <w:r w:rsidRPr="00BC4760">
      <w:rPr>
        <w:bCs/>
        <w:sz w:val="24"/>
        <w:szCs w:val="24"/>
      </w:rPr>
      <w:fldChar w:fldCharType="separate"/>
    </w:r>
    <w:r w:rsidR="00105CCE">
      <w:rPr>
        <w:bCs/>
        <w:noProof/>
        <w:sz w:val="24"/>
        <w:szCs w:val="24"/>
      </w:rPr>
      <w:t>11</w:t>
    </w:r>
    <w:r w:rsidRPr="00BC4760">
      <w:rPr>
        <w:bCs/>
        <w:sz w:val="24"/>
        <w:szCs w:val="24"/>
      </w:rPr>
      <w:fldChar w:fldCharType="end"/>
    </w:r>
  </w:p>
  <w:p w14:paraId="6D44306A" w14:textId="77777777" w:rsidR="009A2D73" w:rsidRDefault="009A2D73" w:rsidP="00BC47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D91"/>
    <w:multiLevelType w:val="hybridMultilevel"/>
    <w:tmpl w:val="494AF5C6"/>
    <w:lvl w:ilvl="0" w:tplc="6ACA5F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606BC"/>
    <w:multiLevelType w:val="hybridMultilevel"/>
    <w:tmpl w:val="FE186438"/>
    <w:lvl w:ilvl="0" w:tplc="607014B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23662F"/>
    <w:multiLevelType w:val="hybridMultilevel"/>
    <w:tmpl w:val="07CC5F6A"/>
    <w:lvl w:ilvl="0" w:tplc="FB9064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6DF40CE"/>
    <w:multiLevelType w:val="hybridMultilevel"/>
    <w:tmpl w:val="CFCC71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89580C"/>
    <w:multiLevelType w:val="hybridMultilevel"/>
    <w:tmpl w:val="7B62D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37D95"/>
    <w:multiLevelType w:val="hybridMultilevel"/>
    <w:tmpl w:val="D938C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0580A"/>
    <w:multiLevelType w:val="hybridMultilevel"/>
    <w:tmpl w:val="BE7AE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76683"/>
    <w:multiLevelType w:val="hybridMultilevel"/>
    <w:tmpl w:val="1A7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50729"/>
    <w:multiLevelType w:val="hybridMultilevel"/>
    <w:tmpl w:val="B20E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7"/>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5D"/>
    <w:rsid w:val="0000349A"/>
    <w:rsid w:val="00004CA5"/>
    <w:rsid w:val="000105B5"/>
    <w:rsid w:val="00024ABA"/>
    <w:rsid w:val="00047625"/>
    <w:rsid w:val="00047795"/>
    <w:rsid w:val="0005117D"/>
    <w:rsid w:val="00061B92"/>
    <w:rsid w:val="000679DC"/>
    <w:rsid w:val="00083009"/>
    <w:rsid w:val="00084163"/>
    <w:rsid w:val="000879F8"/>
    <w:rsid w:val="000A38ED"/>
    <w:rsid w:val="000B79B3"/>
    <w:rsid w:val="000B7EA5"/>
    <w:rsid w:val="000C10C1"/>
    <w:rsid w:val="000F12F1"/>
    <w:rsid w:val="000F3232"/>
    <w:rsid w:val="000F73A9"/>
    <w:rsid w:val="000F798C"/>
    <w:rsid w:val="00104CE2"/>
    <w:rsid w:val="00105CCE"/>
    <w:rsid w:val="00116779"/>
    <w:rsid w:val="00141F9A"/>
    <w:rsid w:val="00151AE0"/>
    <w:rsid w:val="001549F8"/>
    <w:rsid w:val="00155456"/>
    <w:rsid w:val="00160AE7"/>
    <w:rsid w:val="00161C17"/>
    <w:rsid w:val="0018210B"/>
    <w:rsid w:val="00192715"/>
    <w:rsid w:val="001B5B5E"/>
    <w:rsid w:val="001C1729"/>
    <w:rsid w:val="001E37A6"/>
    <w:rsid w:val="002109C2"/>
    <w:rsid w:val="002177C8"/>
    <w:rsid w:val="002333AC"/>
    <w:rsid w:val="0025327D"/>
    <w:rsid w:val="0026752B"/>
    <w:rsid w:val="00272DF9"/>
    <w:rsid w:val="00280FAA"/>
    <w:rsid w:val="002A62E3"/>
    <w:rsid w:val="002A71C6"/>
    <w:rsid w:val="002D58EE"/>
    <w:rsid w:val="002F6879"/>
    <w:rsid w:val="00303FD7"/>
    <w:rsid w:val="00306CF5"/>
    <w:rsid w:val="003136F1"/>
    <w:rsid w:val="00323665"/>
    <w:rsid w:val="003414CF"/>
    <w:rsid w:val="00343166"/>
    <w:rsid w:val="003569E6"/>
    <w:rsid w:val="00382B1C"/>
    <w:rsid w:val="003A4126"/>
    <w:rsid w:val="003C2807"/>
    <w:rsid w:val="003E1CD8"/>
    <w:rsid w:val="003F2900"/>
    <w:rsid w:val="003F408B"/>
    <w:rsid w:val="003F7CF6"/>
    <w:rsid w:val="004101EA"/>
    <w:rsid w:val="00421490"/>
    <w:rsid w:val="00430F3D"/>
    <w:rsid w:val="004508EF"/>
    <w:rsid w:val="00451D24"/>
    <w:rsid w:val="00461018"/>
    <w:rsid w:val="00471345"/>
    <w:rsid w:val="0048090B"/>
    <w:rsid w:val="0049771A"/>
    <w:rsid w:val="004B26F6"/>
    <w:rsid w:val="004D130C"/>
    <w:rsid w:val="004E1057"/>
    <w:rsid w:val="005011CF"/>
    <w:rsid w:val="00502BDC"/>
    <w:rsid w:val="00507AF0"/>
    <w:rsid w:val="005164C8"/>
    <w:rsid w:val="005205F6"/>
    <w:rsid w:val="00523BEE"/>
    <w:rsid w:val="00531513"/>
    <w:rsid w:val="00533EFC"/>
    <w:rsid w:val="00550387"/>
    <w:rsid w:val="00573932"/>
    <w:rsid w:val="0057731E"/>
    <w:rsid w:val="00577CB8"/>
    <w:rsid w:val="00585F6A"/>
    <w:rsid w:val="00586C75"/>
    <w:rsid w:val="00595509"/>
    <w:rsid w:val="00596A40"/>
    <w:rsid w:val="005C46A6"/>
    <w:rsid w:val="005D0C80"/>
    <w:rsid w:val="005D7E4C"/>
    <w:rsid w:val="005E1C12"/>
    <w:rsid w:val="005E7D1C"/>
    <w:rsid w:val="005F6106"/>
    <w:rsid w:val="006170CD"/>
    <w:rsid w:val="00633201"/>
    <w:rsid w:val="00665743"/>
    <w:rsid w:val="00681AD1"/>
    <w:rsid w:val="0069240F"/>
    <w:rsid w:val="00694DF8"/>
    <w:rsid w:val="006A184E"/>
    <w:rsid w:val="006A2FCD"/>
    <w:rsid w:val="006A3582"/>
    <w:rsid w:val="006A5206"/>
    <w:rsid w:val="006A52EB"/>
    <w:rsid w:val="006A6559"/>
    <w:rsid w:val="006C22D4"/>
    <w:rsid w:val="006C32F7"/>
    <w:rsid w:val="006D4AA1"/>
    <w:rsid w:val="006E5427"/>
    <w:rsid w:val="006E74C7"/>
    <w:rsid w:val="006F0510"/>
    <w:rsid w:val="006F4E41"/>
    <w:rsid w:val="00704C1D"/>
    <w:rsid w:val="00706AEF"/>
    <w:rsid w:val="00711814"/>
    <w:rsid w:val="00712F6D"/>
    <w:rsid w:val="007155E9"/>
    <w:rsid w:val="0072616E"/>
    <w:rsid w:val="007274E7"/>
    <w:rsid w:val="00737DF5"/>
    <w:rsid w:val="007653FD"/>
    <w:rsid w:val="0076636C"/>
    <w:rsid w:val="007A66A3"/>
    <w:rsid w:val="007B1B26"/>
    <w:rsid w:val="007B5B5B"/>
    <w:rsid w:val="007C1397"/>
    <w:rsid w:val="007D0876"/>
    <w:rsid w:val="007D59A6"/>
    <w:rsid w:val="007E6D99"/>
    <w:rsid w:val="007F1CA2"/>
    <w:rsid w:val="007F2E5C"/>
    <w:rsid w:val="0080510B"/>
    <w:rsid w:val="0080760E"/>
    <w:rsid w:val="008134D5"/>
    <w:rsid w:val="00817857"/>
    <w:rsid w:val="00821AFF"/>
    <w:rsid w:val="008512FA"/>
    <w:rsid w:val="00852478"/>
    <w:rsid w:val="008549E8"/>
    <w:rsid w:val="0085792A"/>
    <w:rsid w:val="0086140E"/>
    <w:rsid w:val="00875014"/>
    <w:rsid w:val="008751D1"/>
    <w:rsid w:val="00875FCA"/>
    <w:rsid w:val="0089117D"/>
    <w:rsid w:val="008967E4"/>
    <w:rsid w:val="008A1F39"/>
    <w:rsid w:val="008A385B"/>
    <w:rsid w:val="008A426E"/>
    <w:rsid w:val="008B384A"/>
    <w:rsid w:val="008B4AEA"/>
    <w:rsid w:val="008D4D85"/>
    <w:rsid w:val="008E717F"/>
    <w:rsid w:val="008F367E"/>
    <w:rsid w:val="008F36A9"/>
    <w:rsid w:val="008F7EBF"/>
    <w:rsid w:val="00900E96"/>
    <w:rsid w:val="00913A3B"/>
    <w:rsid w:val="00924716"/>
    <w:rsid w:val="0093200A"/>
    <w:rsid w:val="0093223C"/>
    <w:rsid w:val="00934A58"/>
    <w:rsid w:val="00941800"/>
    <w:rsid w:val="0094277F"/>
    <w:rsid w:val="00943362"/>
    <w:rsid w:val="00951761"/>
    <w:rsid w:val="0096077F"/>
    <w:rsid w:val="009733EB"/>
    <w:rsid w:val="00984B3A"/>
    <w:rsid w:val="00991620"/>
    <w:rsid w:val="00993A87"/>
    <w:rsid w:val="009A1105"/>
    <w:rsid w:val="009A1E5D"/>
    <w:rsid w:val="009A2D73"/>
    <w:rsid w:val="009E3C18"/>
    <w:rsid w:val="009E4E8D"/>
    <w:rsid w:val="00A03FF7"/>
    <w:rsid w:val="00A042AE"/>
    <w:rsid w:val="00A219FF"/>
    <w:rsid w:val="00A31F25"/>
    <w:rsid w:val="00A35286"/>
    <w:rsid w:val="00A46162"/>
    <w:rsid w:val="00A469AC"/>
    <w:rsid w:val="00A60008"/>
    <w:rsid w:val="00A97B05"/>
    <w:rsid w:val="00AA0887"/>
    <w:rsid w:val="00AB0761"/>
    <w:rsid w:val="00AB276C"/>
    <w:rsid w:val="00AB6090"/>
    <w:rsid w:val="00AD7559"/>
    <w:rsid w:val="00AE4F70"/>
    <w:rsid w:val="00B01C0E"/>
    <w:rsid w:val="00B04BDB"/>
    <w:rsid w:val="00B11AE9"/>
    <w:rsid w:val="00B14B3F"/>
    <w:rsid w:val="00B14D72"/>
    <w:rsid w:val="00B2115B"/>
    <w:rsid w:val="00B47C54"/>
    <w:rsid w:val="00B651C2"/>
    <w:rsid w:val="00BA35A4"/>
    <w:rsid w:val="00BA3BCF"/>
    <w:rsid w:val="00BC4760"/>
    <w:rsid w:val="00BC7634"/>
    <w:rsid w:val="00BE53A0"/>
    <w:rsid w:val="00BF16FD"/>
    <w:rsid w:val="00C159FA"/>
    <w:rsid w:val="00C33BFF"/>
    <w:rsid w:val="00C50599"/>
    <w:rsid w:val="00C531A9"/>
    <w:rsid w:val="00C53F3A"/>
    <w:rsid w:val="00C54C03"/>
    <w:rsid w:val="00C55969"/>
    <w:rsid w:val="00C72133"/>
    <w:rsid w:val="00CA53BF"/>
    <w:rsid w:val="00CB077D"/>
    <w:rsid w:val="00CB0E99"/>
    <w:rsid w:val="00CB37B4"/>
    <w:rsid w:val="00CC1957"/>
    <w:rsid w:val="00CC29CE"/>
    <w:rsid w:val="00CD7DBA"/>
    <w:rsid w:val="00CE6661"/>
    <w:rsid w:val="00D00262"/>
    <w:rsid w:val="00D0538F"/>
    <w:rsid w:val="00D12E04"/>
    <w:rsid w:val="00D46FFA"/>
    <w:rsid w:val="00D62E13"/>
    <w:rsid w:val="00D71411"/>
    <w:rsid w:val="00D7182F"/>
    <w:rsid w:val="00D90F67"/>
    <w:rsid w:val="00DA0F35"/>
    <w:rsid w:val="00DA1245"/>
    <w:rsid w:val="00DC2311"/>
    <w:rsid w:val="00DD0307"/>
    <w:rsid w:val="00DD5DF1"/>
    <w:rsid w:val="00DD5E91"/>
    <w:rsid w:val="00DF31AD"/>
    <w:rsid w:val="00DF75A1"/>
    <w:rsid w:val="00E03D2E"/>
    <w:rsid w:val="00E302DE"/>
    <w:rsid w:val="00E32C65"/>
    <w:rsid w:val="00E5298B"/>
    <w:rsid w:val="00E5680F"/>
    <w:rsid w:val="00E60EA3"/>
    <w:rsid w:val="00E76429"/>
    <w:rsid w:val="00E77C66"/>
    <w:rsid w:val="00E94D7A"/>
    <w:rsid w:val="00EA6AF2"/>
    <w:rsid w:val="00EA7D68"/>
    <w:rsid w:val="00EB275F"/>
    <w:rsid w:val="00EB4AC7"/>
    <w:rsid w:val="00ED2C87"/>
    <w:rsid w:val="00ED6D14"/>
    <w:rsid w:val="00EE1748"/>
    <w:rsid w:val="00EE39E2"/>
    <w:rsid w:val="00EE7173"/>
    <w:rsid w:val="00F0199A"/>
    <w:rsid w:val="00F13398"/>
    <w:rsid w:val="00F166FD"/>
    <w:rsid w:val="00F2153D"/>
    <w:rsid w:val="00F2344B"/>
    <w:rsid w:val="00F26641"/>
    <w:rsid w:val="00F273AE"/>
    <w:rsid w:val="00F51CA6"/>
    <w:rsid w:val="00F535A6"/>
    <w:rsid w:val="00F66756"/>
    <w:rsid w:val="00F7235D"/>
    <w:rsid w:val="00F83CBF"/>
    <w:rsid w:val="00FB2F53"/>
    <w:rsid w:val="00FB3388"/>
    <w:rsid w:val="00FB389D"/>
    <w:rsid w:val="00FC047D"/>
    <w:rsid w:val="00FC0485"/>
    <w:rsid w:val="00FC310C"/>
    <w:rsid w:val="00FC6EB3"/>
    <w:rsid w:val="00FD3166"/>
    <w:rsid w:val="00FE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57FE2"/>
  <w14:defaultImageDpi w14:val="0"/>
  <w15:docId w15:val="{4C6C4CF3-4723-40E0-8D39-292C845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2">
    <w:name w:val="heading 2"/>
    <w:basedOn w:val="Normal"/>
    <w:next w:val="Normal"/>
    <w:link w:val="Heading2Char"/>
    <w:uiPriority w:val="99"/>
    <w:qFormat/>
    <w:pPr>
      <w:keepNext/>
      <w:widowControl w:val="0"/>
      <w:tabs>
        <w:tab w:val="left" w:pos="90"/>
      </w:tabs>
      <w:outlineLvl w:val="1"/>
    </w:pPr>
    <w:rPr>
      <w:color w:val="000000"/>
      <w:sz w:val="24"/>
      <w:szCs w:val="24"/>
    </w:rPr>
  </w:style>
  <w:style w:type="paragraph" w:styleId="Heading3">
    <w:name w:val="heading 3"/>
    <w:basedOn w:val="Normal"/>
    <w:next w:val="Normal"/>
    <w:link w:val="Heading3Char"/>
    <w:uiPriority w:val="99"/>
    <w:qFormat/>
    <w:pPr>
      <w:keepNext/>
      <w:widowControl w:val="0"/>
      <w:tabs>
        <w:tab w:val="left" w:pos="4860"/>
      </w:tabs>
      <w:spacing w:after="240"/>
      <w:ind w:left="4867"/>
      <w:outlineLvl w:val="2"/>
    </w:pPr>
    <w:rPr>
      <w:color w:val="000000"/>
      <w:sz w:val="24"/>
      <w:szCs w:val="24"/>
    </w:rPr>
  </w:style>
  <w:style w:type="paragraph" w:styleId="Heading4">
    <w:name w:val="heading 4"/>
    <w:basedOn w:val="Normal"/>
    <w:next w:val="Normal"/>
    <w:link w:val="Heading4Char"/>
    <w:uiPriority w:val="99"/>
    <w:qFormat/>
    <w:pPr>
      <w:keepNext/>
      <w:tabs>
        <w:tab w:val="left" w:pos="4320"/>
      </w:tabs>
      <w:ind w:left="4320" w:hanging="461"/>
      <w:outlineLvl w:val="3"/>
    </w:pPr>
    <w:rPr>
      <w:sz w:val="24"/>
      <w:szCs w:val="24"/>
    </w:rPr>
  </w:style>
  <w:style w:type="paragraph" w:styleId="Heading5">
    <w:name w:val="heading 5"/>
    <w:basedOn w:val="Normal"/>
    <w:next w:val="Normal"/>
    <w:link w:val="Heading5Char"/>
    <w:uiPriority w:val="99"/>
    <w:qFormat/>
    <w:pPr>
      <w:keepNext/>
      <w:jc w:val="center"/>
      <w:outlineLvl w:val="4"/>
    </w:pPr>
    <w:rPr>
      <w:rFonts w:ascii="Arial" w:hAnsi="Arial" w:cs="Arial"/>
      <w:b/>
      <w:bCs/>
      <w:color w:val="FFFFFF"/>
    </w:rPr>
  </w:style>
  <w:style w:type="paragraph" w:styleId="Heading6">
    <w:name w:val="heading 6"/>
    <w:basedOn w:val="Normal"/>
    <w:next w:val="Normal"/>
    <w:link w:val="Heading6Char"/>
    <w:uiPriority w:val="99"/>
    <w:qFormat/>
    <w:pPr>
      <w:keepNext/>
      <w:tabs>
        <w:tab w:val="left" w:pos="4320"/>
        <w:tab w:val="left" w:pos="4860"/>
        <w:tab w:val="left" w:pos="5220"/>
      </w:tabs>
      <w:ind w:left="3600"/>
      <w:outlineLvl w:val="5"/>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paragraph" w:styleId="Heading8">
    <w:name w:val="heading 8"/>
    <w:basedOn w:val="Normal"/>
    <w:next w:val="Normal"/>
    <w:link w:val="Heading8Char"/>
    <w:uiPriority w:val="99"/>
    <w:qFormat/>
    <w:pPr>
      <w:keepNext/>
      <w:tabs>
        <w:tab w:val="left" w:pos="90"/>
      </w:tabs>
      <w:jc w:val="center"/>
      <w:outlineLvl w:val="7"/>
    </w:pPr>
    <w:rPr>
      <w:b/>
      <w:bCs/>
      <w:sz w:val="24"/>
      <w:szCs w:val="24"/>
      <w:u w:val="single"/>
    </w:rPr>
  </w:style>
  <w:style w:type="paragraph" w:styleId="Heading9">
    <w:name w:val="heading 9"/>
    <w:basedOn w:val="Normal"/>
    <w:next w:val="Normal"/>
    <w:link w:val="Heading9Char"/>
    <w:uiPriority w:val="99"/>
    <w:qFormat/>
    <w:pPr>
      <w:keepNext/>
      <w:tabs>
        <w:tab w:val="left" w:pos="90"/>
      </w:tabs>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900"/>
      </w:tabs>
      <w:spacing w:before="120" w:after="120"/>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customStyle="1" w:styleId="ReferenceLine">
    <w:name w:val="Reference Line"/>
    <w:basedOn w:val="BodyText"/>
    <w:uiPriority w:val="99"/>
  </w:style>
  <w:style w:type="paragraph" w:customStyle="1" w:styleId="CcList">
    <w:name w:val="Cc List"/>
    <w:basedOn w:val="Normal"/>
    <w:uiPriority w:val="99"/>
    <w:pPr>
      <w:widowControl w:val="0"/>
    </w:pPr>
    <w:rPr>
      <w:sz w:val="24"/>
      <w:szCs w:val="24"/>
    </w:rPr>
  </w:style>
  <w:style w:type="paragraph" w:styleId="BodyText3">
    <w:name w:val="Body Text 3"/>
    <w:basedOn w:val="Normal"/>
    <w:link w:val="BodyText3Char"/>
    <w:uiPriority w:val="99"/>
    <w:pPr>
      <w:widowControl w:val="0"/>
      <w:tabs>
        <w:tab w:val="left" w:pos="90"/>
      </w:tabs>
      <w:spacing w:after="240"/>
    </w:pPr>
    <w:rPr>
      <w:color w:val="000000"/>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Caption">
    <w:name w:val="caption"/>
    <w:basedOn w:val="Normal"/>
    <w:next w:val="Normal"/>
    <w:uiPriority w:val="99"/>
    <w:qFormat/>
    <w:pPr>
      <w:tabs>
        <w:tab w:val="center" w:pos="4650"/>
      </w:tabs>
    </w:pPr>
    <w:rPr>
      <w:color w:val="000000"/>
      <w:sz w:val="24"/>
      <w:szCs w:val="24"/>
    </w:rPr>
  </w:style>
  <w:style w:type="paragraph" w:styleId="BodyTextIndent2">
    <w:name w:val="Body Text Indent 2"/>
    <w:basedOn w:val="Normal"/>
    <w:link w:val="BodyTextIndent2Char"/>
    <w:uiPriority w:val="99"/>
    <w:pPr>
      <w:tabs>
        <w:tab w:val="left" w:pos="5220"/>
      </w:tabs>
      <w:ind w:left="4320"/>
    </w:pPr>
    <w:rPr>
      <w:color w:val="000000"/>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5220"/>
      </w:tabs>
      <w:ind w:left="4320"/>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1">
    <w:name w:val="1"/>
    <w:aliases w:val="2,3"/>
    <w:uiPriority w:val="99"/>
    <w:pPr>
      <w:autoSpaceDE w:val="0"/>
      <w:autoSpaceDN w:val="0"/>
      <w:spacing w:after="0" w:line="240" w:lineRule="auto"/>
      <w:ind w:left="720"/>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sid w:val="00FC048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461018"/>
    <w:rPr>
      <w:rFonts w:cs="Times New Roman"/>
      <w:sz w:val="16"/>
      <w:szCs w:val="16"/>
    </w:rPr>
  </w:style>
  <w:style w:type="paragraph" w:styleId="CommentText">
    <w:name w:val="annotation text"/>
    <w:basedOn w:val="Normal"/>
    <w:link w:val="CommentTextChar"/>
    <w:uiPriority w:val="99"/>
    <w:semiHidden/>
    <w:unhideWhenUsed/>
    <w:rsid w:val="00461018"/>
  </w:style>
  <w:style w:type="character" w:customStyle="1" w:styleId="CommentTextChar">
    <w:name w:val="Comment Text Char"/>
    <w:basedOn w:val="DefaultParagraphFont"/>
    <w:link w:val="CommentText"/>
    <w:uiPriority w:val="99"/>
    <w:semiHidden/>
    <w:locked/>
    <w:rsid w:val="00461018"/>
    <w:rPr>
      <w:rFonts w:cs="Times New Roman"/>
      <w:sz w:val="20"/>
      <w:szCs w:val="20"/>
    </w:rPr>
  </w:style>
  <w:style w:type="paragraph" w:styleId="CommentSubject">
    <w:name w:val="annotation subject"/>
    <w:basedOn w:val="CommentText"/>
    <w:next w:val="CommentText"/>
    <w:link w:val="CommentSubjectChar"/>
    <w:uiPriority w:val="99"/>
    <w:semiHidden/>
    <w:unhideWhenUsed/>
    <w:rsid w:val="00461018"/>
    <w:rPr>
      <w:b/>
      <w:bCs/>
    </w:rPr>
  </w:style>
  <w:style w:type="character" w:customStyle="1" w:styleId="CommentSubjectChar">
    <w:name w:val="Comment Subject Char"/>
    <w:basedOn w:val="CommentTextChar"/>
    <w:link w:val="CommentSubject"/>
    <w:uiPriority w:val="99"/>
    <w:semiHidden/>
    <w:locked/>
    <w:rsid w:val="00461018"/>
    <w:rPr>
      <w:rFonts w:cs="Times New Roman"/>
      <w:b/>
      <w:bCs/>
      <w:sz w:val="20"/>
      <w:szCs w:val="20"/>
    </w:rPr>
  </w:style>
  <w:style w:type="table" w:styleId="TableGrid">
    <w:name w:val="Table Grid"/>
    <w:basedOn w:val="TableNormal"/>
    <w:uiPriority w:val="59"/>
    <w:rsid w:val="00C7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6A52EB"/>
    <w:pPr>
      <w:spacing w:after="0" w:line="240" w:lineRule="auto"/>
    </w:pPr>
    <w:rPr>
      <w:sz w:val="20"/>
      <w:szCs w:val="20"/>
    </w:rPr>
  </w:style>
  <w:style w:type="paragraph" w:styleId="ListParagraph">
    <w:name w:val="List Paragraph"/>
    <w:basedOn w:val="Normal"/>
    <w:uiPriority w:val="34"/>
    <w:qFormat/>
    <w:rsid w:val="007155E9"/>
    <w:pPr>
      <w:ind w:left="720"/>
      <w:contextualSpacing/>
    </w:pPr>
  </w:style>
  <w:style w:type="paragraph" w:styleId="NoSpacing">
    <w:name w:val="No Spacing"/>
    <w:uiPriority w:val="1"/>
    <w:qFormat/>
    <w:rsid w:val="00D71411"/>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4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Tempo Field</vt:lpstr>
    </vt:vector>
  </TitlesOfParts>
  <Company>Office of Pollution Control</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 Field</dc:title>
  <dc:subject/>
  <dc:creator>Bruce Ferguson</dc:creator>
  <cp:keywords/>
  <dc:description/>
  <cp:lastModifiedBy>Jaricus Whitlock</cp:lastModifiedBy>
  <cp:revision>3</cp:revision>
  <cp:lastPrinted>2019-09-20T14:53:00Z</cp:lastPrinted>
  <dcterms:created xsi:type="dcterms:W3CDTF">2021-10-14T20:31:00Z</dcterms:created>
  <dcterms:modified xsi:type="dcterms:W3CDTF">2021-10-14T20:31:00Z</dcterms:modified>
</cp:coreProperties>
</file>