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EE581" w14:textId="77777777" w:rsidR="00AE785C" w:rsidRDefault="00AE785C">
      <w:pPr>
        <w:pStyle w:val="Title"/>
        <w:rPr>
          <w:sz w:val="28"/>
          <w:szCs w:val="28"/>
          <w:u w:val="single"/>
        </w:rPr>
      </w:pPr>
      <w:r>
        <w:rPr>
          <w:sz w:val="28"/>
          <w:szCs w:val="28"/>
          <w:u w:val="single"/>
        </w:rPr>
        <w:t>PERMIT REVIEW SUMMARY</w:t>
      </w:r>
    </w:p>
    <w:p w14:paraId="70373EBB" w14:textId="77777777" w:rsidR="00AE785C" w:rsidRDefault="00AE785C">
      <w:pPr>
        <w:pStyle w:val="Title"/>
        <w:jc w:val="both"/>
      </w:pPr>
    </w:p>
    <w:p w14:paraId="126E86F8" w14:textId="59ABDFD0" w:rsidR="00233312" w:rsidRDefault="00233312" w:rsidP="00233312">
      <w:pPr>
        <w:pStyle w:val="Title"/>
        <w:jc w:val="both"/>
      </w:pPr>
      <w:r>
        <w:t>Permit Writer:</w:t>
      </w:r>
      <w:r>
        <w:tab/>
      </w:r>
      <w:r w:rsidR="00C05BA2">
        <w:rPr>
          <w:b w:val="0"/>
        </w:rPr>
        <w:t>Ivelina Pilgrim</w:t>
      </w:r>
      <w:r>
        <w:rPr>
          <w:b w:val="0"/>
        </w:rPr>
        <w:t xml:space="preserve"> </w:t>
      </w:r>
      <w:r>
        <w:rPr>
          <w:b w:val="0"/>
        </w:rPr>
        <w:tab/>
      </w:r>
      <w:r w:rsidR="00C05BA2">
        <w:rPr>
          <w:b w:val="0"/>
        </w:rPr>
        <w:t xml:space="preserve">                           </w:t>
      </w:r>
      <w:r>
        <w:t>Date:</w:t>
      </w:r>
      <w:r w:rsidR="00E369D5">
        <w:rPr>
          <w:b w:val="0"/>
        </w:rPr>
        <w:t xml:space="preserve">      </w:t>
      </w:r>
      <w:r w:rsidR="00644BE3">
        <w:rPr>
          <w:b w:val="0"/>
        </w:rPr>
        <w:t xml:space="preserve">January </w:t>
      </w:r>
      <w:r w:rsidR="0083008F">
        <w:rPr>
          <w:b w:val="0"/>
        </w:rPr>
        <w:t>11</w:t>
      </w:r>
      <w:r w:rsidR="00644BE3">
        <w:rPr>
          <w:b w:val="0"/>
        </w:rPr>
        <w:t>, 2022</w:t>
      </w:r>
    </w:p>
    <w:p w14:paraId="353C9576" w14:textId="77777777" w:rsidR="00035456" w:rsidRDefault="00035456">
      <w:pPr>
        <w:pStyle w:val="Title"/>
        <w:jc w:val="both"/>
      </w:pPr>
    </w:p>
    <w:p w14:paraId="703EA0A3" w14:textId="0863A402" w:rsidR="00AE785C" w:rsidRDefault="00AE785C">
      <w:pPr>
        <w:pStyle w:val="Title"/>
        <w:jc w:val="both"/>
        <w:rPr>
          <w:b w:val="0"/>
          <w:bCs w:val="0"/>
        </w:rPr>
      </w:pPr>
      <w:r>
        <w:t>Company Name:</w:t>
      </w:r>
      <w:r>
        <w:tab/>
      </w:r>
      <w:r>
        <w:rPr>
          <w:b w:val="0"/>
          <w:bCs w:val="0"/>
        </w:rPr>
        <w:t>Singing River Hospital System</w:t>
      </w:r>
    </w:p>
    <w:p w14:paraId="71978630" w14:textId="77777777" w:rsidR="00343A92" w:rsidRDefault="00343A92">
      <w:pPr>
        <w:pStyle w:val="Title"/>
        <w:jc w:val="both"/>
      </w:pPr>
    </w:p>
    <w:p w14:paraId="2DA58613" w14:textId="77777777" w:rsidR="00AE785C" w:rsidRPr="00C05BA2" w:rsidRDefault="00AE785C">
      <w:pPr>
        <w:pStyle w:val="Title"/>
        <w:jc w:val="both"/>
        <w:rPr>
          <w:b w:val="0"/>
          <w:bCs w:val="0"/>
        </w:rPr>
      </w:pPr>
      <w:r>
        <w:t>Facility Location:</w:t>
      </w:r>
      <w:r>
        <w:tab/>
      </w:r>
      <w:r w:rsidRPr="00C05BA2">
        <w:rPr>
          <w:b w:val="0"/>
          <w:bCs w:val="0"/>
        </w:rPr>
        <w:t>2809 Denny Avenue</w:t>
      </w:r>
    </w:p>
    <w:p w14:paraId="4215604B" w14:textId="6C9EEC9F" w:rsidR="00C05BA2" w:rsidRDefault="00C05BA2" w:rsidP="00C05BA2">
      <w:pPr>
        <w:pStyle w:val="Title"/>
        <w:ind w:left="2160"/>
        <w:jc w:val="both"/>
        <w:rPr>
          <w:b w:val="0"/>
          <w:bCs w:val="0"/>
        </w:rPr>
      </w:pPr>
      <w:r w:rsidRPr="00C05BA2">
        <w:rPr>
          <w:b w:val="0"/>
          <w:bCs w:val="0"/>
        </w:rPr>
        <w:t>Pascagoula, Mississippi</w:t>
      </w:r>
    </w:p>
    <w:p w14:paraId="27E88DA5" w14:textId="77777777" w:rsidR="00343A92" w:rsidRPr="00C05BA2" w:rsidRDefault="00343A92" w:rsidP="00C05BA2">
      <w:pPr>
        <w:pStyle w:val="Title"/>
        <w:ind w:left="2160"/>
        <w:jc w:val="both"/>
        <w:rPr>
          <w:b w:val="0"/>
          <w:bCs w:val="0"/>
        </w:rPr>
      </w:pPr>
      <w:bookmarkStart w:id="0" w:name="_GoBack"/>
      <w:bookmarkEnd w:id="0"/>
    </w:p>
    <w:p w14:paraId="4F254CB5" w14:textId="217BE77D" w:rsidR="00AE785C" w:rsidRDefault="00AE785C">
      <w:pPr>
        <w:pStyle w:val="Title"/>
        <w:jc w:val="both"/>
        <w:rPr>
          <w:b w:val="0"/>
          <w:bCs w:val="0"/>
        </w:rPr>
      </w:pPr>
      <w:r>
        <w:t>Source Number:</w:t>
      </w:r>
      <w:r>
        <w:tab/>
      </w:r>
      <w:r>
        <w:rPr>
          <w:b w:val="0"/>
          <w:bCs w:val="0"/>
        </w:rPr>
        <w:t>1280-00126</w:t>
      </w:r>
    </w:p>
    <w:p w14:paraId="296C7696" w14:textId="77777777" w:rsidR="00343A92" w:rsidRDefault="00343A92">
      <w:pPr>
        <w:pStyle w:val="Title"/>
        <w:jc w:val="both"/>
      </w:pPr>
    </w:p>
    <w:p w14:paraId="64FCAE18" w14:textId="77777777" w:rsidR="00AE785C" w:rsidRDefault="00AE785C">
      <w:pPr>
        <w:pStyle w:val="Title"/>
        <w:jc w:val="both"/>
      </w:pPr>
      <w:r>
        <w:t xml:space="preserve">County: </w:t>
      </w:r>
      <w:r>
        <w:tab/>
      </w:r>
      <w:r>
        <w:tab/>
      </w:r>
      <w:r>
        <w:rPr>
          <w:b w:val="0"/>
          <w:bCs w:val="0"/>
        </w:rPr>
        <w:t>Jackson</w:t>
      </w:r>
    </w:p>
    <w:p w14:paraId="4CAFAF9A" w14:textId="77777777" w:rsidR="00AE785C" w:rsidRDefault="00AE785C">
      <w:pPr>
        <w:pStyle w:val="Title"/>
        <w:jc w:val="both"/>
      </w:pPr>
    </w:p>
    <w:p w14:paraId="0AF07B78" w14:textId="77777777" w:rsidR="001D7E96" w:rsidRDefault="001D7E96" w:rsidP="001D7E96">
      <w:pPr>
        <w:pStyle w:val="Title"/>
        <w:jc w:val="both"/>
        <w:rPr>
          <w:u w:val="single"/>
        </w:rPr>
      </w:pPr>
      <w:r>
        <w:rPr>
          <w:u w:val="single"/>
        </w:rPr>
        <w:t>FACILITY DESCRIPTION</w:t>
      </w:r>
    </w:p>
    <w:p w14:paraId="46BD59E0" w14:textId="68E7496D" w:rsidR="001D7E96" w:rsidRDefault="00EF1319" w:rsidP="001D7E96">
      <w:pPr>
        <w:pStyle w:val="Title"/>
        <w:jc w:val="both"/>
        <w:rPr>
          <w:b w:val="0"/>
          <w:bCs w:val="0"/>
        </w:rPr>
      </w:pPr>
      <w:r w:rsidRPr="00D0307E">
        <w:rPr>
          <w:b w:val="0"/>
          <w:bCs w:val="0"/>
        </w:rPr>
        <w:t xml:space="preserve">Singing River </w:t>
      </w:r>
      <w:r>
        <w:rPr>
          <w:b w:val="0"/>
          <w:bCs w:val="0"/>
        </w:rPr>
        <w:t>Hospital</w:t>
      </w:r>
      <w:r w:rsidRPr="00D0307E">
        <w:rPr>
          <w:b w:val="0"/>
          <w:bCs w:val="0"/>
        </w:rPr>
        <w:t xml:space="preserve"> System </w:t>
      </w:r>
      <w:r w:rsidR="005B50D8">
        <w:rPr>
          <w:b w:val="0"/>
          <w:bCs w:val="0"/>
        </w:rPr>
        <w:t xml:space="preserve">(“Singing River”) </w:t>
      </w:r>
      <w:r w:rsidRPr="00D0307E">
        <w:rPr>
          <w:b w:val="0"/>
          <w:bCs w:val="0"/>
        </w:rPr>
        <w:t xml:space="preserve">is an existing </w:t>
      </w:r>
      <w:r w:rsidR="000C7C1F">
        <w:rPr>
          <w:b w:val="0"/>
          <w:bCs w:val="0"/>
        </w:rPr>
        <w:t xml:space="preserve">licensed 435-bed </w:t>
      </w:r>
      <w:r w:rsidRPr="00D0307E">
        <w:rPr>
          <w:b w:val="0"/>
          <w:bCs w:val="0"/>
        </w:rPr>
        <w:t xml:space="preserve">hospital. The hospital operates </w:t>
      </w:r>
      <w:r w:rsidR="000C7C1F">
        <w:rPr>
          <w:b w:val="0"/>
          <w:bCs w:val="0"/>
        </w:rPr>
        <w:t>several air emission sources</w:t>
      </w:r>
      <w:r w:rsidRPr="00D0307E">
        <w:rPr>
          <w:b w:val="0"/>
          <w:bCs w:val="0"/>
        </w:rPr>
        <w:t xml:space="preserve"> such as boilers</w:t>
      </w:r>
      <w:r w:rsidR="005B50D8">
        <w:rPr>
          <w:b w:val="0"/>
          <w:bCs w:val="0"/>
        </w:rPr>
        <w:t xml:space="preserve"> (both natural gas-fired and dual fuel-fired)</w:t>
      </w:r>
      <w:r w:rsidRPr="00D0307E">
        <w:rPr>
          <w:b w:val="0"/>
          <w:bCs w:val="0"/>
        </w:rPr>
        <w:t xml:space="preserve">, </w:t>
      </w:r>
      <w:r w:rsidR="005B50D8">
        <w:rPr>
          <w:b w:val="0"/>
          <w:bCs w:val="0"/>
        </w:rPr>
        <w:t xml:space="preserve">diesel-fired </w:t>
      </w:r>
      <w:r w:rsidRPr="00D0307E">
        <w:rPr>
          <w:b w:val="0"/>
          <w:bCs w:val="0"/>
        </w:rPr>
        <w:t>emergency back</w:t>
      </w:r>
      <w:r w:rsidR="000C7C1F">
        <w:rPr>
          <w:b w:val="0"/>
          <w:bCs w:val="0"/>
        </w:rPr>
        <w:t>-</w:t>
      </w:r>
      <w:r w:rsidRPr="00D0307E">
        <w:rPr>
          <w:b w:val="0"/>
          <w:bCs w:val="0"/>
        </w:rPr>
        <w:t>up generator</w:t>
      </w:r>
      <w:r w:rsidR="000C7C1F">
        <w:rPr>
          <w:b w:val="0"/>
          <w:bCs w:val="0"/>
        </w:rPr>
        <w:t xml:space="preserve"> engines</w:t>
      </w:r>
      <w:r w:rsidRPr="00D0307E">
        <w:rPr>
          <w:b w:val="0"/>
          <w:bCs w:val="0"/>
        </w:rPr>
        <w:t xml:space="preserve">, </w:t>
      </w:r>
      <w:r w:rsidR="005B50D8">
        <w:rPr>
          <w:b w:val="0"/>
          <w:bCs w:val="0"/>
        </w:rPr>
        <w:t>diesel-fired</w:t>
      </w:r>
      <w:r w:rsidR="000C7C1F">
        <w:rPr>
          <w:b w:val="0"/>
          <w:bCs w:val="0"/>
        </w:rPr>
        <w:t xml:space="preserve"> non-emergency generator engines</w:t>
      </w:r>
      <w:r w:rsidR="005B50D8">
        <w:rPr>
          <w:b w:val="0"/>
          <w:bCs w:val="0"/>
        </w:rPr>
        <w:t>, one (1) ethylene oxide sterilizer system,</w:t>
      </w:r>
      <w:r w:rsidR="000C7C1F">
        <w:rPr>
          <w:b w:val="0"/>
          <w:bCs w:val="0"/>
        </w:rPr>
        <w:t xml:space="preserve"> </w:t>
      </w:r>
      <w:r w:rsidR="005B50D8">
        <w:rPr>
          <w:b w:val="0"/>
          <w:bCs w:val="0"/>
        </w:rPr>
        <w:t xml:space="preserve">liquid fuel </w:t>
      </w:r>
      <w:r w:rsidRPr="00D0307E">
        <w:rPr>
          <w:b w:val="0"/>
          <w:bCs w:val="0"/>
        </w:rPr>
        <w:t>storage tanks</w:t>
      </w:r>
      <w:r w:rsidR="005B50D8">
        <w:rPr>
          <w:b w:val="0"/>
          <w:bCs w:val="0"/>
        </w:rPr>
        <w:t>, and other ancillary support equipment (cooling towers, woodworking shop, paint booth, etc.)</w:t>
      </w:r>
      <w:r w:rsidRPr="00D0307E">
        <w:rPr>
          <w:b w:val="0"/>
          <w:bCs w:val="0"/>
        </w:rPr>
        <w:t>.</w:t>
      </w:r>
      <w:r>
        <w:rPr>
          <w:b w:val="0"/>
          <w:bCs w:val="0"/>
        </w:rPr>
        <w:t xml:space="preserve"> </w:t>
      </w:r>
    </w:p>
    <w:p w14:paraId="692DB173" w14:textId="77777777" w:rsidR="001D7E96" w:rsidRDefault="001D7E96" w:rsidP="001D7E96">
      <w:pPr>
        <w:pStyle w:val="Title"/>
        <w:jc w:val="both"/>
        <w:rPr>
          <w:u w:val="single"/>
        </w:rPr>
      </w:pPr>
    </w:p>
    <w:p w14:paraId="18FD8922" w14:textId="77777777" w:rsidR="001D7E96" w:rsidRDefault="001D7E96" w:rsidP="001D7E96">
      <w:pPr>
        <w:pStyle w:val="Title"/>
        <w:jc w:val="both"/>
        <w:rPr>
          <w:u w:val="single"/>
        </w:rPr>
      </w:pPr>
      <w:r>
        <w:rPr>
          <w:u w:val="single"/>
        </w:rPr>
        <w:t>PROJECT/PERMIT ACTION DESCRIPTION</w:t>
      </w:r>
    </w:p>
    <w:p w14:paraId="51829699" w14:textId="70F204E5" w:rsidR="006C43AB" w:rsidRDefault="005B50D8" w:rsidP="001D7E96">
      <w:pPr>
        <w:pStyle w:val="Title"/>
        <w:jc w:val="both"/>
        <w:rPr>
          <w:b w:val="0"/>
          <w:bCs w:val="0"/>
        </w:rPr>
      </w:pPr>
      <w:r>
        <w:rPr>
          <w:b w:val="0"/>
          <w:bCs w:val="0"/>
        </w:rPr>
        <w:t xml:space="preserve">On October 1, 2020, </w:t>
      </w:r>
      <w:r w:rsidR="00704737">
        <w:rPr>
          <w:b w:val="0"/>
          <w:bCs w:val="0"/>
        </w:rPr>
        <w:t xml:space="preserve">Singing River </w:t>
      </w:r>
      <w:r>
        <w:rPr>
          <w:b w:val="0"/>
          <w:bCs w:val="0"/>
        </w:rPr>
        <w:t>submitted an application</w:t>
      </w:r>
      <w:r w:rsidR="00704737">
        <w:rPr>
          <w:b w:val="0"/>
          <w:bCs w:val="0"/>
        </w:rPr>
        <w:t xml:space="preserve"> for </w:t>
      </w:r>
      <w:r>
        <w:rPr>
          <w:b w:val="0"/>
          <w:bCs w:val="0"/>
        </w:rPr>
        <w:t>the</w:t>
      </w:r>
      <w:r w:rsidR="00704737">
        <w:rPr>
          <w:b w:val="0"/>
          <w:bCs w:val="0"/>
        </w:rPr>
        <w:t xml:space="preserve"> renewal of </w:t>
      </w:r>
      <w:r>
        <w:rPr>
          <w:b w:val="0"/>
          <w:bCs w:val="0"/>
        </w:rPr>
        <w:t xml:space="preserve">its </w:t>
      </w:r>
      <w:r w:rsidR="00704737">
        <w:rPr>
          <w:b w:val="0"/>
          <w:bCs w:val="0"/>
        </w:rPr>
        <w:t xml:space="preserve">Synthetic Minor Operating Permit (SMOP) without any proposed changes to the existing equipment on-site. </w:t>
      </w:r>
    </w:p>
    <w:p w14:paraId="19D83CBB" w14:textId="77777777" w:rsidR="006C43AB" w:rsidRDefault="006C43AB" w:rsidP="001D7E96">
      <w:pPr>
        <w:pStyle w:val="Title"/>
        <w:jc w:val="both"/>
        <w:rPr>
          <w:b w:val="0"/>
          <w:bCs w:val="0"/>
        </w:rPr>
      </w:pPr>
    </w:p>
    <w:p w14:paraId="179EA0E9" w14:textId="2B3C6852" w:rsidR="001D7E96" w:rsidRDefault="00EF1319" w:rsidP="001D7E96">
      <w:pPr>
        <w:pStyle w:val="Title"/>
        <w:jc w:val="both"/>
        <w:rPr>
          <w:b w:val="0"/>
          <w:bCs w:val="0"/>
        </w:rPr>
      </w:pPr>
      <w:r>
        <w:rPr>
          <w:b w:val="0"/>
          <w:bCs w:val="0"/>
        </w:rPr>
        <w:t>For Emission Points AA-009 and AA-010</w:t>
      </w:r>
      <w:r w:rsidR="007C697D">
        <w:rPr>
          <w:b w:val="0"/>
          <w:bCs w:val="0"/>
        </w:rPr>
        <w:t xml:space="preserve"> </w:t>
      </w:r>
      <w:r w:rsidR="005B50D8">
        <w:rPr>
          <w:b w:val="0"/>
          <w:bCs w:val="0"/>
        </w:rPr>
        <w:t>[t</w:t>
      </w:r>
      <w:r w:rsidR="007C697D">
        <w:rPr>
          <w:b w:val="0"/>
          <w:bCs w:val="0"/>
        </w:rPr>
        <w:t xml:space="preserve">wo (2) </w:t>
      </w:r>
      <w:r w:rsidR="005B50D8">
        <w:rPr>
          <w:b w:val="0"/>
          <w:bCs w:val="0"/>
        </w:rPr>
        <w:t>non</w:t>
      </w:r>
      <w:r w:rsidR="007C697D">
        <w:rPr>
          <w:b w:val="0"/>
          <w:bCs w:val="0"/>
        </w:rPr>
        <w:t xml:space="preserve">-emergency </w:t>
      </w:r>
      <w:r w:rsidR="005B50D8">
        <w:rPr>
          <w:b w:val="0"/>
          <w:bCs w:val="0"/>
        </w:rPr>
        <w:t>compression-i</w:t>
      </w:r>
      <w:r w:rsidR="007C697D">
        <w:rPr>
          <w:b w:val="0"/>
          <w:bCs w:val="0"/>
        </w:rPr>
        <w:t xml:space="preserve">gnition </w:t>
      </w:r>
      <w:r w:rsidR="00776C4A">
        <w:rPr>
          <w:b w:val="0"/>
          <w:bCs w:val="0"/>
        </w:rPr>
        <w:t xml:space="preserve">(CI) </w:t>
      </w:r>
      <w:r w:rsidR="005B50D8">
        <w:rPr>
          <w:b w:val="0"/>
          <w:bCs w:val="0"/>
        </w:rPr>
        <w:t>g</w:t>
      </w:r>
      <w:r w:rsidR="007C697D">
        <w:rPr>
          <w:b w:val="0"/>
          <w:bCs w:val="0"/>
        </w:rPr>
        <w:t xml:space="preserve">enerator </w:t>
      </w:r>
      <w:r w:rsidR="005B50D8">
        <w:rPr>
          <w:b w:val="0"/>
          <w:bCs w:val="0"/>
        </w:rPr>
        <w:t>e</w:t>
      </w:r>
      <w:r w:rsidR="007C697D">
        <w:rPr>
          <w:b w:val="0"/>
          <w:bCs w:val="0"/>
        </w:rPr>
        <w:t xml:space="preserve">ngines </w:t>
      </w:r>
      <w:r w:rsidR="005B50D8">
        <w:rPr>
          <w:b w:val="0"/>
          <w:bCs w:val="0"/>
        </w:rPr>
        <w:t xml:space="preserve">each </w:t>
      </w:r>
      <w:r w:rsidR="007C697D">
        <w:rPr>
          <w:b w:val="0"/>
          <w:bCs w:val="0"/>
        </w:rPr>
        <w:t xml:space="preserve">equipped with </w:t>
      </w:r>
      <w:r w:rsidR="005B50D8">
        <w:rPr>
          <w:b w:val="0"/>
          <w:bCs w:val="0"/>
        </w:rPr>
        <w:t>an o</w:t>
      </w:r>
      <w:r w:rsidR="007C697D">
        <w:rPr>
          <w:b w:val="0"/>
          <w:bCs w:val="0"/>
        </w:rPr>
        <w:t xml:space="preserve">xidation </w:t>
      </w:r>
      <w:r w:rsidR="005B50D8">
        <w:rPr>
          <w:b w:val="0"/>
          <w:bCs w:val="0"/>
        </w:rPr>
        <w:t>catalyst]</w:t>
      </w:r>
      <w:r w:rsidR="007C697D">
        <w:rPr>
          <w:b w:val="0"/>
          <w:bCs w:val="0"/>
        </w:rPr>
        <w:t>, the facility was</w:t>
      </w:r>
      <w:r>
        <w:rPr>
          <w:b w:val="0"/>
          <w:bCs w:val="0"/>
        </w:rPr>
        <w:t xml:space="preserve"> required to demonstrate compliance with </w:t>
      </w:r>
      <w:r w:rsidR="006C43AB">
        <w:rPr>
          <w:b w:val="0"/>
          <w:bCs w:val="0"/>
        </w:rPr>
        <w:t xml:space="preserve">established </w:t>
      </w:r>
      <w:r>
        <w:rPr>
          <w:b w:val="0"/>
          <w:bCs w:val="0"/>
        </w:rPr>
        <w:t>emission limitations for nitrogen oxides (NO</w:t>
      </w:r>
      <w:r>
        <w:rPr>
          <w:b w:val="0"/>
          <w:bCs w:val="0"/>
          <w:vertAlign w:val="subscript"/>
        </w:rPr>
        <w:t>X</w:t>
      </w:r>
      <w:r>
        <w:rPr>
          <w:b w:val="0"/>
          <w:bCs w:val="0"/>
        </w:rPr>
        <w:t xml:space="preserve">) by stack-testing once in the life of the </w:t>
      </w:r>
      <w:r w:rsidR="006C43AB">
        <w:rPr>
          <w:b w:val="0"/>
          <w:bCs w:val="0"/>
        </w:rPr>
        <w:t xml:space="preserve">existing </w:t>
      </w:r>
      <w:r>
        <w:rPr>
          <w:b w:val="0"/>
          <w:bCs w:val="0"/>
        </w:rPr>
        <w:t xml:space="preserve">SMOP. </w:t>
      </w:r>
      <w:r w:rsidR="006C43AB">
        <w:rPr>
          <w:b w:val="0"/>
          <w:bCs w:val="0"/>
        </w:rPr>
        <w:t xml:space="preserve"> </w:t>
      </w:r>
      <w:r w:rsidR="008029E3">
        <w:rPr>
          <w:b w:val="0"/>
          <w:bCs w:val="0"/>
        </w:rPr>
        <w:t>The facility</w:t>
      </w:r>
      <w:r w:rsidR="00776C4A">
        <w:rPr>
          <w:b w:val="0"/>
          <w:bCs w:val="0"/>
        </w:rPr>
        <w:t xml:space="preserve">’s last </w:t>
      </w:r>
      <w:r w:rsidR="006C43AB">
        <w:rPr>
          <w:b w:val="0"/>
          <w:bCs w:val="0"/>
        </w:rPr>
        <w:t>stack test</w:t>
      </w:r>
      <w:r w:rsidR="00776C4A">
        <w:rPr>
          <w:b w:val="0"/>
          <w:bCs w:val="0"/>
        </w:rPr>
        <w:t xml:space="preserve">, </w:t>
      </w:r>
      <w:r w:rsidR="006C43AB">
        <w:rPr>
          <w:b w:val="0"/>
          <w:bCs w:val="0"/>
        </w:rPr>
        <w:t xml:space="preserve">which was </w:t>
      </w:r>
      <w:r w:rsidR="00776C4A">
        <w:rPr>
          <w:b w:val="0"/>
          <w:bCs w:val="0"/>
        </w:rPr>
        <w:t xml:space="preserve">performed on September 6, 2017, showed that the </w:t>
      </w:r>
      <w:r w:rsidR="00CD0132">
        <w:rPr>
          <w:b w:val="0"/>
          <w:bCs w:val="0"/>
        </w:rPr>
        <w:t xml:space="preserve">hourly </w:t>
      </w:r>
      <w:r w:rsidR="00776C4A">
        <w:rPr>
          <w:b w:val="0"/>
          <w:bCs w:val="0"/>
        </w:rPr>
        <w:t>NO</w:t>
      </w:r>
      <w:r w:rsidR="00776C4A">
        <w:rPr>
          <w:b w:val="0"/>
          <w:bCs w:val="0"/>
          <w:vertAlign w:val="subscript"/>
        </w:rPr>
        <w:t>X</w:t>
      </w:r>
      <w:r w:rsidR="00776C4A">
        <w:rPr>
          <w:b w:val="0"/>
          <w:bCs w:val="0"/>
        </w:rPr>
        <w:t xml:space="preserve"> emissions from </w:t>
      </w:r>
      <w:r w:rsidR="006C43AB">
        <w:rPr>
          <w:b w:val="0"/>
          <w:bCs w:val="0"/>
        </w:rPr>
        <w:t xml:space="preserve">each </w:t>
      </w:r>
      <w:r w:rsidR="00776C4A">
        <w:rPr>
          <w:b w:val="0"/>
          <w:bCs w:val="0"/>
        </w:rPr>
        <w:t>unit</w:t>
      </w:r>
      <w:r w:rsidR="00CD0132">
        <w:rPr>
          <w:b w:val="0"/>
          <w:bCs w:val="0"/>
        </w:rPr>
        <w:t xml:space="preserve"> </w:t>
      </w:r>
      <w:r w:rsidR="006C43AB">
        <w:rPr>
          <w:b w:val="0"/>
          <w:bCs w:val="0"/>
        </w:rPr>
        <w:t xml:space="preserve">was </w:t>
      </w:r>
      <w:r w:rsidR="00CD0132">
        <w:rPr>
          <w:b w:val="0"/>
          <w:bCs w:val="0"/>
        </w:rPr>
        <w:t xml:space="preserve">less than 60% of the emission limit established for each </w:t>
      </w:r>
      <w:r w:rsidR="003F4843">
        <w:rPr>
          <w:b w:val="0"/>
          <w:bCs w:val="0"/>
        </w:rPr>
        <w:t>engine</w:t>
      </w:r>
      <w:r w:rsidR="00CD0132">
        <w:rPr>
          <w:b w:val="0"/>
          <w:bCs w:val="0"/>
        </w:rPr>
        <w:t xml:space="preserve">. </w:t>
      </w:r>
      <w:r w:rsidR="006C43AB">
        <w:rPr>
          <w:b w:val="0"/>
          <w:bCs w:val="0"/>
        </w:rPr>
        <w:t xml:space="preserve"> </w:t>
      </w:r>
      <w:r w:rsidR="00CD0132">
        <w:rPr>
          <w:b w:val="0"/>
          <w:bCs w:val="0"/>
        </w:rPr>
        <w:t xml:space="preserve">Since the </w:t>
      </w:r>
      <w:r w:rsidR="00622F70">
        <w:rPr>
          <w:b w:val="0"/>
          <w:bCs w:val="0"/>
        </w:rPr>
        <w:t>engines have</w:t>
      </w:r>
      <w:r w:rsidR="00CD0132">
        <w:rPr>
          <w:b w:val="0"/>
          <w:bCs w:val="0"/>
        </w:rPr>
        <w:t xml:space="preserve"> demonstrated a </w:t>
      </w:r>
      <w:r w:rsidR="008029E3">
        <w:rPr>
          <w:b w:val="0"/>
          <w:bCs w:val="0"/>
        </w:rPr>
        <w:t xml:space="preserve">significant margin of compliance with </w:t>
      </w:r>
      <w:r w:rsidR="00622F70">
        <w:rPr>
          <w:b w:val="0"/>
          <w:bCs w:val="0"/>
        </w:rPr>
        <w:t>the NO</w:t>
      </w:r>
      <w:r w:rsidR="00622F70">
        <w:rPr>
          <w:b w:val="0"/>
          <w:bCs w:val="0"/>
          <w:vertAlign w:val="subscript"/>
        </w:rPr>
        <w:t>X</w:t>
      </w:r>
      <w:r w:rsidR="00CD0132">
        <w:rPr>
          <w:b w:val="0"/>
          <w:bCs w:val="0"/>
        </w:rPr>
        <w:t xml:space="preserve"> </w:t>
      </w:r>
      <w:r w:rsidR="008029E3">
        <w:rPr>
          <w:b w:val="0"/>
          <w:bCs w:val="0"/>
        </w:rPr>
        <w:t>e</w:t>
      </w:r>
      <w:r w:rsidR="00CD0132">
        <w:rPr>
          <w:b w:val="0"/>
          <w:bCs w:val="0"/>
        </w:rPr>
        <w:t xml:space="preserve">mission limitations, </w:t>
      </w:r>
      <w:r w:rsidR="008029E3">
        <w:rPr>
          <w:b w:val="0"/>
          <w:bCs w:val="0"/>
        </w:rPr>
        <w:t>the stack-testing requirement</w:t>
      </w:r>
      <w:r w:rsidR="00622F70">
        <w:rPr>
          <w:b w:val="0"/>
          <w:bCs w:val="0"/>
        </w:rPr>
        <w:t xml:space="preserve">s were </w:t>
      </w:r>
      <w:r w:rsidR="008029E3">
        <w:rPr>
          <w:b w:val="0"/>
          <w:bCs w:val="0"/>
        </w:rPr>
        <w:t>removed from the proposed permit.</w:t>
      </w:r>
    </w:p>
    <w:p w14:paraId="06773893" w14:textId="2D69F211" w:rsidR="00B3604E" w:rsidRDefault="00B3604E" w:rsidP="001D7E96">
      <w:pPr>
        <w:pStyle w:val="Title"/>
        <w:jc w:val="both"/>
        <w:rPr>
          <w:b w:val="0"/>
          <w:bCs w:val="0"/>
        </w:rPr>
      </w:pPr>
    </w:p>
    <w:p w14:paraId="547833C4" w14:textId="55919A99" w:rsidR="00B3604E" w:rsidRDefault="00B3604E" w:rsidP="001D7E96">
      <w:pPr>
        <w:pStyle w:val="Title"/>
        <w:jc w:val="both"/>
        <w:rPr>
          <w:b w:val="0"/>
          <w:bCs w:val="0"/>
        </w:rPr>
      </w:pPr>
      <w:r>
        <w:rPr>
          <w:b w:val="0"/>
          <w:bCs w:val="0"/>
        </w:rPr>
        <w:t>Upon further review of the existing NO</w:t>
      </w:r>
      <w:r w:rsidRPr="00B3604E">
        <w:rPr>
          <w:b w:val="0"/>
          <w:bCs w:val="0"/>
          <w:vertAlign w:val="subscript"/>
        </w:rPr>
        <w:t>X</w:t>
      </w:r>
      <w:r>
        <w:rPr>
          <w:b w:val="0"/>
          <w:bCs w:val="0"/>
        </w:rPr>
        <w:t xml:space="preserve"> and SO</w:t>
      </w:r>
      <w:r w:rsidRPr="00B3604E">
        <w:rPr>
          <w:b w:val="0"/>
          <w:bCs w:val="0"/>
          <w:vertAlign w:val="subscript"/>
        </w:rPr>
        <w:t>2</w:t>
      </w:r>
      <w:r>
        <w:rPr>
          <w:b w:val="0"/>
          <w:bCs w:val="0"/>
        </w:rPr>
        <w:t xml:space="preserve"> emission limitations established for Emission Points AA-009 and AA-010, it was determined that the respective values were based on applicable emission factors </w:t>
      </w:r>
      <w:r w:rsidR="00CE7D7E">
        <w:rPr>
          <w:b w:val="0"/>
          <w:bCs w:val="0"/>
        </w:rPr>
        <w:t xml:space="preserve">from AP-42 – Compilation of Air Pollutant Emissions Factors </w:t>
      </w:r>
      <w:r>
        <w:rPr>
          <w:b w:val="0"/>
          <w:bCs w:val="0"/>
        </w:rPr>
        <w:t>(for short-term) and operating for no more than 700 hours per year (for long-term).  C</w:t>
      </w:r>
      <w:r w:rsidR="00CE7D7E">
        <w:rPr>
          <w:b w:val="0"/>
          <w:bCs w:val="0"/>
        </w:rPr>
        <w:t xml:space="preserve">onsidering how the common usage of AP-42 emissions data, the EPD does not believe that short-term limits are necessary.  Moreover, given that the long-term limits are strictly based on the operational limit of 700 hours per year, </w:t>
      </w:r>
      <w:r w:rsidR="00343A92">
        <w:rPr>
          <w:b w:val="0"/>
          <w:bCs w:val="0"/>
        </w:rPr>
        <w:t>the EPD believes that establishing long-term emission limits are redundant and also not necessary.  Therefore, the noted emission limitations were removed from the proposed permit.</w:t>
      </w:r>
    </w:p>
    <w:p w14:paraId="12EDA586" w14:textId="4C48ACB5" w:rsidR="00343A92" w:rsidRDefault="00343A92" w:rsidP="001D7E96">
      <w:pPr>
        <w:pStyle w:val="Title"/>
        <w:jc w:val="both"/>
        <w:rPr>
          <w:b w:val="0"/>
          <w:bCs w:val="0"/>
        </w:rPr>
      </w:pPr>
    </w:p>
    <w:p w14:paraId="1B168555" w14:textId="187414B2" w:rsidR="00343A92" w:rsidRDefault="00343A92">
      <w:pPr>
        <w:widowControl/>
        <w:autoSpaceDE/>
        <w:autoSpaceDN/>
        <w:spacing w:after="200" w:line="276" w:lineRule="auto"/>
      </w:pPr>
      <w:r>
        <w:rPr>
          <w:b/>
          <w:bCs/>
        </w:rPr>
        <w:br w:type="page"/>
      </w:r>
    </w:p>
    <w:p w14:paraId="384AAFFB" w14:textId="77777777" w:rsidR="00343A92" w:rsidRDefault="00343A92" w:rsidP="001D7E96">
      <w:pPr>
        <w:pStyle w:val="Title"/>
        <w:jc w:val="both"/>
        <w:rPr>
          <w:b w:val="0"/>
          <w:bCs w:val="0"/>
        </w:rPr>
      </w:pPr>
    </w:p>
    <w:p w14:paraId="17129F31" w14:textId="77777777" w:rsidR="001D7E96" w:rsidRDefault="001D7E96" w:rsidP="001D7E96">
      <w:pPr>
        <w:pStyle w:val="Title"/>
        <w:jc w:val="both"/>
        <w:rPr>
          <w:u w:val="single"/>
        </w:rPr>
      </w:pPr>
      <w:r>
        <w:rPr>
          <w:u w:val="single"/>
        </w:rPr>
        <w:t>EMISSION SUMMARY</w:t>
      </w:r>
    </w:p>
    <w:p w14:paraId="4071D911" w14:textId="77777777" w:rsidR="00035456" w:rsidRDefault="00035456" w:rsidP="00B03B00">
      <w:pPr>
        <w:pStyle w:val="Title"/>
        <w:jc w:val="both"/>
      </w:pPr>
      <w:bookmarkStart w:id="1" w:name="_Hlk18586215"/>
    </w:p>
    <w:p w14:paraId="6AA138D7" w14:textId="77777777" w:rsidR="00B03B00" w:rsidRPr="002F3D57" w:rsidRDefault="00B03B00" w:rsidP="00B03B00">
      <w:pPr>
        <w:pStyle w:val="Title"/>
        <w:jc w:val="both"/>
      </w:pPr>
      <w:r w:rsidRPr="002F3D57">
        <w:t xml:space="preserve">Table 1: Facility-Wide Emissions </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0"/>
        <w:gridCol w:w="720"/>
        <w:gridCol w:w="720"/>
        <w:gridCol w:w="720"/>
        <w:gridCol w:w="720"/>
        <w:gridCol w:w="720"/>
        <w:gridCol w:w="810"/>
        <w:gridCol w:w="810"/>
        <w:gridCol w:w="990"/>
        <w:gridCol w:w="990"/>
      </w:tblGrid>
      <w:tr w:rsidR="00B03B00" w:rsidRPr="00DA2731" w14:paraId="69381F4A" w14:textId="77777777" w:rsidTr="006561C9">
        <w:trPr>
          <w:trHeight w:val="638"/>
          <w:jc w:val="center"/>
        </w:trPr>
        <w:tc>
          <w:tcPr>
            <w:tcW w:w="2245" w:type="dxa"/>
            <w:shd w:val="clear" w:color="auto" w:fill="BFBFBF"/>
            <w:vAlign w:val="center"/>
          </w:tcPr>
          <w:p w14:paraId="460E7DE0" w14:textId="77777777" w:rsidR="00B03B00" w:rsidRPr="00416BEC" w:rsidRDefault="00B03B00" w:rsidP="006561C9">
            <w:pPr>
              <w:tabs>
                <w:tab w:val="left" w:pos="5220"/>
              </w:tabs>
              <w:jc w:val="center"/>
              <w:rPr>
                <w:b/>
                <w:sz w:val="20"/>
                <w:szCs w:val="20"/>
              </w:rPr>
            </w:pPr>
          </w:p>
        </w:tc>
        <w:tc>
          <w:tcPr>
            <w:tcW w:w="790" w:type="dxa"/>
            <w:shd w:val="clear" w:color="auto" w:fill="BFBFBF"/>
            <w:vAlign w:val="center"/>
          </w:tcPr>
          <w:p w14:paraId="34FFD830" w14:textId="77777777" w:rsidR="00B03B00" w:rsidRPr="00416BEC" w:rsidRDefault="00B03B00" w:rsidP="006561C9">
            <w:pPr>
              <w:tabs>
                <w:tab w:val="left" w:pos="5220"/>
              </w:tabs>
              <w:jc w:val="center"/>
              <w:rPr>
                <w:b/>
                <w:sz w:val="20"/>
                <w:szCs w:val="20"/>
              </w:rPr>
            </w:pPr>
            <w:r w:rsidRPr="00416BEC">
              <w:rPr>
                <w:b/>
                <w:sz w:val="20"/>
                <w:szCs w:val="20"/>
              </w:rPr>
              <w:t>PM</w:t>
            </w:r>
          </w:p>
        </w:tc>
        <w:tc>
          <w:tcPr>
            <w:tcW w:w="720" w:type="dxa"/>
            <w:shd w:val="clear" w:color="auto" w:fill="BFBFBF"/>
            <w:vAlign w:val="center"/>
          </w:tcPr>
          <w:p w14:paraId="56156CCC" w14:textId="77777777" w:rsidR="00B03B00" w:rsidRPr="00416BEC" w:rsidRDefault="00B03B00" w:rsidP="006561C9">
            <w:pPr>
              <w:tabs>
                <w:tab w:val="left" w:pos="5220"/>
              </w:tabs>
              <w:jc w:val="center"/>
              <w:rPr>
                <w:b/>
                <w:sz w:val="20"/>
                <w:szCs w:val="20"/>
              </w:rPr>
            </w:pPr>
            <w:r w:rsidRPr="00416BEC">
              <w:rPr>
                <w:b/>
                <w:sz w:val="20"/>
                <w:szCs w:val="20"/>
              </w:rPr>
              <w:t>PM</w:t>
            </w:r>
            <w:r w:rsidRPr="00416BEC">
              <w:rPr>
                <w:b/>
                <w:sz w:val="20"/>
                <w:szCs w:val="20"/>
                <w:vertAlign w:val="subscript"/>
              </w:rPr>
              <w:t>10</w:t>
            </w:r>
          </w:p>
        </w:tc>
        <w:tc>
          <w:tcPr>
            <w:tcW w:w="720" w:type="dxa"/>
            <w:shd w:val="clear" w:color="auto" w:fill="BFBFBF"/>
            <w:vAlign w:val="center"/>
          </w:tcPr>
          <w:p w14:paraId="0EFBB344" w14:textId="77777777" w:rsidR="00B03B00" w:rsidRPr="00416BEC" w:rsidRDefault="00B03B00" w:rsidP="006561C9">
            <w:pPr>
              <w:tabs>
                <w:tab w:val="left" w:pos="5220"/>
              </w:tabs>
              <w:jc w:val="center"/>
              <w:rPr>
                <w:b/>
                <w:sz w:val="20"/>
                <w:szCs w:val="20"/>
              </w:rPr>
            </w:pPr>
            <w:r w:rsidRPr="00416BEC">
              <w:rPr>
                <w:b/>
                <w:sz w:val="20"/>
                <w:szCs w:val="20"/>
              </w:rPr>
              <w:t>PM</w:t>
            </w:r>
            <w:r w:rsidRPr="00416BEC">
              <w:rPr>
                <w:b/>
                <w:sz w:val="20"/>
                <w:szCs w:val="20"/>
                <w:vertAlign w:val="subscript"/>
              </w:rPr>
              <w:t>2.5</w:t>
            </w:r>
          </w:p>
        </w:tc>
        <w:tc>
          <w:tcPr>
            <w:tcW w:w="720" w:type="dxa"/>
            <w:shd w:val="clear" w:color="auto" w:fill="BFBFBF"/>
            <w:vAlign w:val="center"/>
          </w:tcPr>
          <w:p w14:paraId="6918F36B" w14:textId="77777777" w:rsidR="00B03B00" w:rsidRPr="00416BEC" w:rsidRDefault="00B03B00" w:rsidP="006561C9">
            <w:pPr>
              <w:tabs>
                <w:tab w:val="left" w:pos="5220"/>
              </w:tabs>
              <w:jc w:val="center"/>
              <w:rPr>
                <w:b/>
                <w:sz w:val="20"/>
                <w:szCs w:val="20"/>
              </w:rPr>
            </w:pPr>
            <w:r w:rsidRPr="00416BEC">
              <w:rPr>
                <w:b/>
                <w:sz w:val="20"/>
                <w:szCs w:val="20"/>
              </w:rPr>
              <w:t>SO</w:t>
            </w:r>
            <w:r w:rsidRPr="00416BEC">
              <w:rPr>
                <w:b/>
                <w:sz w:val="20"/>
                <w:szCs w:val="20"/>
                <w:vertAlign w:val="subscript"/>
              </w:rPr>
              <w:t>2</w:t>
            </w:r>
          </w:p>
        </w:tc>
        <w:tc>
          <w:tcPr>
            <w:tcW w:w="720" w:type="dxa"/>
            <w:shd w:val="clear" w:color="auto" w:fill="BFBFBF"/>
            <w:vAlign w:val="center"/>
          </w:tcPr>
          <w:p w14:paraId="7D3F4727" w14:textId="77777777" w:rsidR="00B03B00" w:rsidRPr="00416BEC" w:rsidRDefault="00B03B00" w:rsidP="006561C9">
            <w:pPr>
              <w:tabs>
                <w:tab w:val="left" w:pos="5220"/>
              </w:tabs>
              <w:jc w:val="center"/>
              <w:rPr>
                <w:b/>
                <w:sz w:val="20"/>
                <w:szCs w:val="20"/>
              </w:rPr>
            </w:pPr>
            <w:r w:rsidRPr="00416BEC">
              <w:rPr>
                <w:b/>
                <w:sz w:val="20"/>
                <w:szCs w:val="20"/>
              </w:rPr>
              <w:t>NO</w:t>
            </w:r>
            <w:r w:rsidRPr="00416BEC">
              <w:rPr>
                <w:b/>
                <w:sz w:val="20"/>
                <w:szCs w:val="20"/>
                <w:vertAlign w:val="subscript"/>
              </w:rPr>
              <w:t>X</w:t>
            </w:r>
          </w:p>
        </w:tc>
        <w:tc>
          <w:tcPr>
            <w:tcW w:w="720" w:type="dxa"/>
            <w:shd w:val="clear" w:color="auto" w:fill="BFBFBF"/>
            <w:vAlign w:val="center"/>
          </w:tcPr>
          <w:p w14:paraId="7F99A9F6" w14:textId="77777777" w:rsidR="00B03B00" w:rsidRPr="00416BEC" w:rsidRDefault="00B03B00" w:rsidP="006561C9">
            <w:pPr>
              <w:tabs>
                <w:tab w:val="left" w:pos="5220"/>
              </w:tabs>
              <w:jc w:val="center"/>
              <w:rPr>
                <w:b/>
                <w:sz w:val="20"/>
                <w:szCs w:val="20"/>
              </w:rPr>
            </w:pPr>
            <w:r w:rsidRPr="00416BEC">
              <w:rPr>
                <w:b/>
                <w:sz w:val="20"/>
                <w:szCs w:val="20"/>
              </w:rPr>
              <w:t>CO</w:t>
            </w:r>
          </w:p>
        </w:tc>
        <w:tc>
          <w:tcPr>
            <w:tcW w:w="810" w:type="dxa"/>
            <w:shd w:val="clear" w:color="auto" w:fill="BFBFBF"/>
            <w:vAlign w:val="center"/>
          </w:tcPr>
          <w:p w14:paraId="451A39E1" w14:textId="77777777" w:rsidR="00B03B00" w:rsidRPr="00416BEC" w:rsidRDefault="00B03B00" w:rsidP="006561C9">
            <w:pPr>
              <w:tabs>
                <w:tab w:val="left" w:pos="5220"/>
              </w:tabs>
              <w:jc w:val="center"/>
              <w:rPr>
                <w:b/>
                <w:sz w:val="20"/>
                <w:szCs w:val="20"/>
              </w:rPr>
            </w:pPr>
            <w:r w:rsidRPr="00416BEC">
              <w:rPr>
                <w:b/>
                <w:sz w:val="20"/>
                <w:szCs w:val="20"/>
              </w:rPr>
              <w:t>VOC</w:t>
            </w:r>
            <w:r>
              <w:rPr>
                <w:b/>
                <w:sz w:val="20"/>
                <w:szCs w:val="20"/>
              </w:rPr>
              <w:t>s</w:t>
            </w:r>
          </w:p>
        </w:tc>
        <w:tc>
          <w:tcPr>
            <w:tcW w:w="810" w:type="dxa"/>
            <w:shd w:val="clear" w:color="auto" w:fill="BFBFBF"/>
            <w:vAlign w:val="center"/>
          </w:tcPr>
          <w:p w14:paraId="1A2B3BCA" w14:textId="77777777" w:rsidR="00B03B00" w:rsidRPr="00416BEC" w:rsidRDefault="00B03B00" w:rsidP="006561C9">
            <w:pPr>
              <w:tabs>
                <w:tab w:val="left" w:pos="5220"/>
              </w:tabs>
              <w:jc w:val="center"/>
              <w:rPr>
                <w:b/>
                <w:sz w:val="20"/>
                <w:szCs w:val="20"/>
              </w:rPr>
            </w:pPr>
            <w:r w:rsidRPr="00416BEC">
              <w:rPr>
                <w:b/>
                <w:sz w:val="20"/>
                <w:szCs w:val="20"/>
              </w:rPr>
              <w:t>Lead</w:t>
            </w:r>
          </w:p>
        </w:tc>
        <w:tc>
          <w:tcPr>
            <w:tcW w:w="990" w:type="dxa"/>
            <w:shd w:val="clear" w:color="auto" w:fill="BFBFBF"/>
            <w:vAlign w:val="center"/>
          </w:tcPr>
          <w:p w14:paraId="07A18010" w14:textId="77777777" w:rsidR="00B03B00" w:rsidRPr="00416BEC" w:rsidRDefault="00B03B00" w:rsidP="006561C9">
            <w:pPr>
              <w:tabs>
                <w:tab w:val="left" w:pos="5220"/>
              </w:tabs>
              <w:jc w:val="center"/>
              <w:rPr>
                <w:b/>
                <w:sz w:val="20"/>
                <w:szCs w:val="20"/>
              </w:rPr>
            </w:pPr>
            <w:r>
              <w:rPr>
                <w:b/>
                <w:sz w:val="20"/>
                <w:szCs w:val="20"/>
              </w:rPr>
              <w:t>Ind. HAP</w:t>
            </w:r>
          </w:p>
        </w:tc>
        <w:tc>
          <w:tcPr>
            <w:tcW w:w="990" w:type="dxa"/>
            <w:shd w:val="clear" w:color="auto" w:fill="BFBFBF"/>
            <w:vAlign w:val="center"/>
          </w:tcPr>
          <w:p w14:paraId="59BAAAD2" w14:textId="77777777" w:rsidR="00B03B00" w:rsidRPr="00416BEC" w:rsidRDefault="00B03B00" w:rsidP="006561C9">
            <w:pPr>
              <w:tabs>
                <w:tab w:val="left" w:pos="5220"/>
              </w:tabs>
              <w:jc w:val="center"/>
              <w:rPr>
                <w:b/>
                <w:sz w:val="20"/>
                <w:szCs w:val="20"/>
              </w:rPr>
            </w:pPr>
            <w:r w:rsidRPr="00416BEC">
              <w:rPr>
                <w:b/>
                <w:sz w:val="20"/>
                <w:szCs w:val="20"/>
              </w:rPr>
              <w:t>Total HAPs</w:t>
            </w:r>
          </w:p>
        </w:tc>
      </w:tr>
      <w:tr w:rsidR="00B03B00" w:rsidRPr="00DA2731" w14:paraId="0523F66C" w14:textId="77777777" w:rsidTr="006561C9">
        <w:trPr>
          <w:trHeight w:val="593"/>
          <w:jc w:val="center"/>
        </w:trPr>
        <w:tc>
          <w:tcPr>
            <w:tcW w:w="2245" w:type="dxa"/>
            <w:vAlign w:val="center"/>
          </w:tcPr>
          <w:p w14:paraId="29155464" w14:textId="77777777" w:rsidR="00B03B00" w:rsidRPr="00416BEC" w:rsidRDefault="00B03B00" w:rsidP="006561C9">
            <w:pPr>
              <w:tabs>
                <w:tab w:val="left" w:pos="5220"/>
              </w:tabs>
              <w:jc w:val="center"/>
              <w:rPr>
                <w:sz w:val="20"/>
                <w:szCs w:val="20"/>
              </w:rPr>
            </w:pPr>
            <w:r>
              <w:rPr>
                <w:sz w:val="20"/>
                <w:szCs w:val="20"/>
              </w:rPr>
              <w:t>Maximum Uncontrolled Emissions</w:t>
            </w:r>
            <w:r w:rsidRPr="00416BEC">
              <w:rPr>
                <w:sz w:val="20"/>
                <w:szCs w:val="20"/>
              </w:rPr>
              <w:t xml:space="preserve"> (</w:t>
            </w:r>
            <w:proofErr w:type="spellStart"/>
            <w:r w:rsidRPr="00416BEC">
              <w:rPr>
                <w:sz w:val="20"/>
                <w:szCs w:val="20"/>
              </w:rPr>
              <w:t>tpy</w:t>
            </w:r>
            <w:proofErr w:type="spellEnd"/>
            <w:r w:rsidRPr="00416BEC">
              <w:rPr>
                <w:sz w:val="20"/>
                <w:szCs w:val="20"/>
              </w:rPr>
              <w:t>)</w:t>
            </w:r>
          </w:p>
        </w:tc>
        <w:tc>
          <w:tcPr>
            <w:tcW w:w="790" w:type="dxa"/>
            <w:vAlign w:val="center"/>
          </w:tcPr>
          <w:p w14:paraId="3253597E" w14:textId="77777777" w:rsidR="00B03B00" w:rsidRPr="009300AC" w:rsidRDefault="008030FD" w:rsidP="008030FD">
            <w:pPr>
              <w:tabs>
                <w:tab w:val="left" w:pos="5220"/>
              </w:tabs>
              <w:jc w:val="center"/>
              <w:rPr>
                <w:bCs/>
                <w:sz w:val="20"/>
                <w:szCs w:val="20"/>
              </w:rPr>
            </w:pPr>
            <w:r>
              <w:rPr>
                <w:bCs/>
                <w:sz w:val="20"/>
                <w:szCs w:val="20"/>
              </w:rPr>
              <w:t>28.9</w:t>
            </w:r>
          </w:p>
        </w:tc>
        <w:tc>
          <w:tcPr>
            <w:tcW w:w="720" w:type="dxa"/>
            <w:vAlign w:val="center"/>
          </w:tcPr>
          <w:p w14:paraId="429D1675" w14:textId="77777777" w:rsidR="00B03B00" w:rsidRPr="009300AC" w:rsidRDefault="008030FD" w:rsidP="006561C9">
            <w:pPr>
              <w:tabs>
                <w:tab w:val="left" w:pos="5220"/>
              </w:tabs>
              <w:jc w:val="center"/>
              <w:rPr>
                <w:bCs/>
                <w:sz w:val="20"/>
                <w:szCs w:val="20"/>
              </w:rPr>
            </w:pPr>
            <w:r>
              <w:rPr>
                <w:bCs/>
                <w:sz w:val="20"/>
                <w:szCs w:val="20"/>
              </w:rPr>
              <w:t>25.7</w:t>
            </w:r>
          </w:p>
        </w:tc>
        <w:tc>
          <w:tcPr>
            <w:tcW w:w="720" w:type="dxa"/>
            <w:vAlign w:val="center"/>
          </w:tcPr>
          <w:p w14:paraId="1F735E9F" w14:textId="77777777" w:rsidR="00B03B00" w:rsidRPr="009300AC" w:rsidRDefault="008030FD" w:rsidP="006561C9">
            <w:pPr>
              <w:tabs>
                <w:tab w:val="left" w:pos="5220"/>
              </w:tabs>
              <w:jc w:val="center"/>
              <w:rPr>
                <w:bCs/>
                <w:sz w:val="20"/>
                <w:szCs w:val="20"/>
              </w:rPr>
            </w:pPr>
            <w:r>
              <w:rPr>
                <w:bCs/>
                <w:sz w:val="20"/>
                <w:szCs w:val="20"/>
              </w:rPr>
              <w:t>25.3</w:t>
            </w:r>
          </w:p>
        </w:tc>
        <w:tc>
          <w:tcPr>
            <w:tcW w:w="720" w:type="dxa"/>
            <w:vAlign w:val="center"/>
          </w:tcPr>
          <w:p w14:paraId="2801C49E" w14:textId="77777777" w:rsidR="00B03B00" w:rsidRPr="009300AC" w:rsidRDefault="008030FD" w:rsidP="006561C9">
            <w:pPr>
              <w:tabs>
                <w:tab w:val="left" w:pos="5220"/>
              </w:tabs>
              <w:jc w:val="center"/>
              <w:rPr>
                <w:bCs/>
                <w:sz w:val="20"/>
                <w:szCs w:val="20"/>
              </w:rPr>
            </w:pPr>
            <w:r>
              <w:rPr>
                <w:bCs/>
                <w:sz w:val="20"/>
                <w:szCs w:val="20"/>
              </w:rPr>
              <w:t>3.9</w:t>
            </w:r>
          </w:p>
        </w:tc>
        <w:tc>
          <w:tcPr>
            <w:tcW w:w="720" w:type="dxa"/>
            <w:vAlign w:val="center"/>
          </w:tcPr>
          <w:p w14:paraId="66E0A67B" w14:textId="77777777" w:rsidR="00B03B00" w:rsidRPr="009300AC" w:rsidRDefault="008030FD" w:rsidP="006561C9">
            <w:pPr>
              <w:tabs>
                <w:tab w:val="left" w:pos="5220"/>
              </w:tabs>
              <w:jc w:val="center"/>
              <w:rPr>
                <w:bCs/>
                <w:sz w:val="20"/>
                <w:szCs w:val="20"/>
              </w:rPr>
            </w:pPr>
            <w:r>
              <w:rPr>
                <w:bCs/>
                <w:sz w:val="20"/>
                <w:szCs w:val="20"/>
              </w:rPr>
              <w:t>861.3</w:t>
            </w:r>
          </w:p>
        </w:tc>
        <w:tc>
          <w:tcPr>
            <w:tcW w:w="720" w:type="dxa"/>
            <w:vAlign w:val="center"/>
          </w:tcPr>
          <w:p w14:paraId="535FA8A8" w14:textId="77777777" w:rsidR="00B03B00" w:rsidRPr="00947404" w:rsidRDefault="008030FD" w:rsidP="006561C9">
            <w:pPr>
              <w:tabs>
                <w:tab w:val="left" w:pos="5220"/>
              </w:tabs>
              <w:jc w:val="center"/>
              <w:rPr>
                <w:bCs/>
                <w:sz w:val="20"/>
                <w:szCs w:val="20"/>
              </w:rPr>
            </w:pPr>
            <w:r>
              <w:rPr>
                <w:bCs/>
                <w:sz w:val="20"/>
                <w:szCs w:val="20"/>
              </w:rPr>
              <w:t>230.7</w:t>
            </w:r>
          </w:p>
        </w:tc>
        <w:tc>
          <w:tcPr>
            <w:tcW w:w="810" w:type="dxa"/>
            <w:vAlign w:val="center"/>
          </w:tcPr>
          <w:p w14:paraId="17D6050F" w14:textId="77777777" w:rsidR="00B03B00" w:rsidRPr="00947404" w:rsidRDefault="008030FD" w:rsidP="006561C9">
            <w:pPr>
              <w:tabs>
                <w:tab w:val="left" w:pos="5220"/>
              </w:tabs>
              <w:jc w:val="center"/>
              <w:rPr>
                <w:bCs/>
                <w:sz w:val="20"/>
                <w:szCs w:val="20"/>
              </w:rPr>
            </w:pPr>
            <w:r>
              <w:rPr>
                <w:bCs/>
                <w:sz w:val="20"/>
                <w:szCs w:val="20"/>
              </w:rPr>
              <w:t>31.6</w:t>
            </w:r>
          </w:p>
        </w:tc>
        <w:tc>
          <w:tcPr>
            <w:tcW w:w="810" w:type="dxa"/>
            <w:vAlign w:val="center"/>
          </w:tcPr>
          <w:p w14:paraId="088CC3A1" w14:textId="77777777" w:rsidR="00B03B00" w:rsidRPr="00D25E43" w:rsidRDefault="00B03B00" w:rsidP="006561C9">
            <w:pPr>
              <w:tabs>
                <w:tab w:val="left" w:pos="5220"/>
              </w:tabs>
              <w:jc w:val="center"/>
              <w:rPr>
                <w:bCs/>
                <w:sz w:val="20"/>
                <w:szCs w:val="20"/>
                <w:highlight w:val="yellow"/>
              </w:rPr>
            </w:pPr>
            <w:r w:rsidRPr="009300AC">
              <w:rPr>
                <w:bCs/>
                <w:sz w:val="20"/>
                <w:szCs w:val="20"/>
              </w:rPr>
              <w:t>0</w:t>
            </w:r>
          </w:p>
        </w:tc>
        <w:tc>
          <w:tcPr>
            <w:tcW w:w="990" w:type="dxa"/>
            <w:vAlign w:val="center"/>
          </w:tcPr>
          <w:p w14:paraId="1B39AD4A" w14:textId="77777777" w:rsidR="00B03B00" w:rsidRDefault="00B03B00" w:rsidP="006561C9">
            <w:pPr>
              <w:tabs>
                <w:tab w:val="left" w:pos="5220"/>
              </w:tabs>
              <w:jc w:val="center"/>
              <w:rPr>
                <w:bCs/>
                <w:sz w:val="20"/>
                <w:szCs w:val="20"/>
              </w:rPr>
            </w:pPr>
            <w:r>
              <w:rPr>
                <w:bCs/>
                <w:sz w:val="20"/>
                <w:szCs w:val="20"/>
              </w:rPr>
              <w:t>-</w:t>
            </w:r>
          </w:p>
        </w:tc>
        <w:tc>
          <w:tcPr>
            <w:tcW w:w="990" w:type="dxa"/>
            <w:vAlign w:val="center"/>
          </w:tcPr>
          <w:p w14:paraId="0EB9B366" w14:textId="77777777" w:rsidR="00B03B00" w:rsidRPr="00416BEC" w:rsidRDefault="00947404" w:rsidP="006561C9">
            <w:pPr>
              <w:tabs>
                <w:tab w:val="left" w:pos="5220"/>
              </w:tabs>
              <w:jc w:val="center"/>
              <w:rPr>
                <w:bCs/>
                <w:sz w:val="20"/>
                <w:szCs w:val="20"/>
              </w:rPr>
            </w:pPr>
            <w:r>
              <w:rPr>
                <w:bCs/>
                <w:sz w:val="20"/>
                <w:szCs w:val="20"/>
              </w:rPr>
              <w:t>0.6</w:t>
            </w:r>
          </w:p>
        </w:tc>
      </w:tr>
      <w:tr w:rsidR="00947404" w:rsidRPr="00DA2731" w14:paraId="24413971" w14:textId="77777777" w:rsidTr="006561C9">
        <w:trPr>
          <w:trHeight w:val="620"/>
          <w:jc w:val="center"/>
        </w:trPr>
        <w:tc>
          <w:tcPr>
            <w:tcW w:w="2245" w:type="dxa"/>
            <w:vAlign w:val="center"/>
          </w:tcPr>
          <w:p w14:paraId="4FB140B6" w14:textId="77777777" w:rsidR="00947404" w:rsidRPr="00416BEC" w:rsidRDefault="00947404" w:rsidP="00947404">
            <w:pPr>
              <w:tabs>
                <w:tab w:val="left" w:pos="5220"/>
              </w:tabs>
              <w:jc w:val="center"/>
              <w:rPr>
                <w:sz w:val="20"/>
                <w:szCs w:val="20"/>
              </w:rPr>
            </w:pPr>
            <w:r w:rsidRPr="00416BEC">
              <w:rPr>
                <w:sz w:val="20"/>
                <w:szCs w:val="20"/>
              </w:rPr>
              <w:t>Emission Limitations (</w:t>
            </w:r>
            <w:proofErr w:type="spellStart"/>
            <w:r w:rsidRPr="00416BEC">
              <w:rPr>
                <w:sz w:val="20"/>
                <w:szCs w:val="20"/>
              </w:rPr>
              <w:t>tpy</w:t>
            </w:r>
            <w:proofErr w:type="spellEnd"/>
            <w:r w:rsidRPr="00416BEC">
              <w:rPr>
                <w:sz w:val="20"/>
                <w:szCs w:val="20"/>
              </w:rPr>
              <w:t>)</w:t>
            </w:r>
          </w:p>
        </w:tc>
        <w:tc>
          <w:tcPr>
            <w:tcW w:w="790" w:type="dxa"/>
            <w:vAlign w:val="center"/>
          </w:tcPr>
          <w:p w14:paraId="5E0C57CA" w14:textId="77777777" w:rsidR="00947404" w:rsidRPr="00416BEC" w:rsidRDefault="00947404" w:rsidP="00947404">
            <w:pPr>
              <w:tabs>
                <w:tab w:val="left" w:pos="5220"/>
              </w:tabs>
              <w:jc w:val="center"/>
              <w:rPr>
                <w:b/>
                <w:sz w:val="20"/>
                <w:szCs w:val="20"/>
              </w:rPr>
            </w:pPr>
          </w:p>
        </w:tc>
        <w:tc>
          <w:tcPr>
            <w:tcW w:w="720" w:type="dxa"/>
            <w:vAlign w:val="center"/>
          </w:tcPr>
          <w:p w14:paraId="1A90B9C6" w14:textId="77777777" w:rsidR="00947404" w:rsidRPr="00416BEC" w:rsidRDefault="00947404" w:rsidP="00947404">
            <w:pPr>
              <w:tabs>
                <w:tab w:val="left" w:pos="5220"/>
              </w:tabs>
              <w:jc w:val="center"/>
              <w:rPr>
                <w:b/>
                <w:sz w:val="20"/>
                <w:szCs w:val="20"/>
              </w:rPr>
            </w:pPr>
          </w:p>
        </w:tc>
        <w:tc>
          <w:tcPr>
            <w:tcW w:w="720" w:type="dxa"/>
            <w:vAlign w:val="center"/>
          </w:tcPr>
          <w:p w14:paraId="3D33AF28" w14:textId="77777777" w:rsidR="00947404" w:rsidRPr="00416BEC" w:rsidRDefault="00947404" w:rsidP="00947404">
            <w:pPr>
              <w:tabs>
                <w:tab w:val="left" w:pos="5220"/>
              </w:tabs>
              <w:jc w:val="center"/>
              <w:rPr>
                <w:b/>
                <w:sz w:val="20"/>
                <w:szCs w:val="20"/>
              </w:rPr>
            </w:pPr>
          </w:p>
        </w:tc>
        <w:tc>
          <w:tcPr>
            <w:tcW w:w="720" w:type="dxa"/>
            <w:vAlign w:val="center"/>
          </w:tcPr>
          <w:p w14:paraId="02D35D4A" w14:textId="77777777" w:rsidR="00947404" w:rsidRPr="00416BEC" w:rsidRDefault="00947404" w:rsidP="00947404">
            <w:pPr>
              <w:tabs>
                <w:tab w:val="left" w:pos="5220"/>
              </w:tabs>
              <w:jc w:val="center"/>
              <w:rPr>
                <w:sz w:val="20"/>
                <w:szCs w:val="20"/>
              </w:rPr>
            </w:pPr>
          </w:p>
        </w:tc>
        <w:tc>
          <w:tcPr>
            <w:tcW w:w="720" w:type="dxa"/>
            <w:vAlign w:val="center"/>
          </w:tcPr>
          <w:p w14:paraId="01AE8580" w14:textId="609AA9A9" w:rsidR="00947404" w:rsidRPr="00416BEC" w:rsidRDefault="00E369D5" w:rsidP="00947404">
            <w:pPr>
              <w:tabs>
                <w:tab w:val="left" w:pos="5220"/>
              </w:tabs>
              <w:jc w:val="center"/>
              <w:rPr>
                <w:b/>
                <w:sz w:val="20"/>
                <w:szCs w:val="20"/>
              </w:rPr>
            </w:pPr>
            <w:r>
              <w:rPr>
                <w:b/>
                <w:sz w:val="20"/>
                <w:szCs w:val="20"/>
              </w:rPr>
              <w:t>87</w:t>
            </w:r>
            <w:r w:rsidR="00947404">
              <w:rPr>
                <w:b/>
                <w:sz w:val="20"/>
                <w:szCs w:val="20"/>
              </w:rPr>
              <w:t>.0</w:t>
            </w:r>
            <w:r w:rsidR="00947404">
              <w:rPr>
                <w:sz w:val="20"/>
                <w:szCs w:val="20"/>
                <w:vertAlign w:val="superscript"/>
              </w:rPr>
              <w:t>1</w:t>
            </w:r>
          </w:p>
        </w:tc>
        <w:tc>
          <w:tcPr>
            <w:tcW w:w="720" w:type="dxa"/>
            <w:vAlign w:val="center"/>
          </w:tcPr>
          <w:p w14:paraId="1F443A06" w14:textId="1564500F" w:rsidR="00947404" w:rsidRPr="00416BEC" w:rsidRDefault="003403A6" w:rsidP="00947404">
            <w:pPr>
              <w:tabs>
                <w:tab w:val="left" w:pos="5220"/>
              </w:tabs>
              <w:jc w:val="center"/>
              <w:rPr>
                <w:b/>
                <w:sz w:val="20"/>
                <w:szCs w:val="20"/>
              </w:rPr>
            </w:pPr>
            <w:r>
              <w:rPr>
                <w:b/>
                <w:sz w:val="20"/>
                <w:szCs w:val="20"/>
              </w:rPr>
              <w:t>28</w:t>
            </w:r>
            <w:r w:rsidR="00947404">
              <w:rPr>
                <w:b/>
                <w:sz w:val="20"/>
                <w:szCs w:val="20"/>
              </w:rPr>
              <w:t>.0</w:t>
            </w:r>
            <w:r w:rsidR="00947404">
              <w:rPr>
                <w:sz w:val="20"/>
                <w:szCs w:val="20"/>
                <w:vertAlign w:val="superscript"/>
              </w:rPr>
              <w:t>1</w:t>
            </w:r>
          </w:p>
        </w:tc>
        <w:tc>
          <w:tcPr>
            <w:tcW w:w="810" w:type="dxa"/>
            <w:vAlign w:val="center"/>
          </w:tcPr>
          <w:p w14:paraId="1772BD56" w14:textId="77777777" w:rsidR="00947404" w:rsidRPr="00D25E43" w:rsidRDefault="00947404" w:rsidP="00947404">
            <w:pPr>
              <w:tabs>
                <w:tab w:val="left" w:pos="5220"/>
              </w:tabs>
              <w:jc w:val="center"/>
              <w:rPr>
                <w:b/>
                <w:bCs/>
                <w:sz w:val="20"/>
                <w:szCs w:val="20"/>
              </w:rPr>
            </w:pPr>
          </w:p>
        </w:tc>
        <w:tc>
          <w:tcPr>
            <w:tcW w:w="810" w:type="dxa"/>
            <w:vAlign w:val="center"/>
          </w:tcPr>
          <w:p w14:paraId="27D6512E" w14:textId="77777777" w:rsidR="00947404" w:rsidRPr="00416BEC" w:rsidRDefault="00947404" w:rsidP="00947404">
            <w:pPr>
              <w:tabs>
                <w:tab w:val="left" w:pos="5220"/>
              </w:tabs>
              <w:jc w:val="center"/>
              <w:rPr>
                <w:sz w:val="20"/>
                <w:szCs w:val="20"/>
              </w:rPr>
            </w:pPr>
          </w:p>
        </w:tc>
        <w:tc>
          <w:tcPr>
            <w:tcW w:w="990" w:type="dxa"/>
            <w:vAlign w:val="center"/>
          </w:tcPr>
          <w:p w14:paraId="63F50961" w14:textId="77777777" w:rsidR="00947404" w:rsidRPr="00055ED3" w:rsidRDefault="00947404" w:rsidP="00947404">
            <w:pPr>
              <w:tabs>
                <w:tab w:val="left" w:pos="5220"/>
              </w:tabs>
              <w:jc w:val="center"/>
              <w:rPr>
                <w:b/>
                <w:sz w:val="20"/>
                <w:szCs w:val="20"/>
                <w:vertAlign w:val="superscript"/>
              </w:rPr>
            </w:pPr>
          </w:p>
        </w:tc>
        <w:tc>
          <w:tcPr>
            <w:tcW w:w="990" w:type="dxa"/>
            <w:vAlign w:val="center"/>
          </w:tcPr>
          <w:p w14:paraId="4A75CCDE" w14:textId="77777777" w:rsidR="00947404" w:rsidRPr="00055ED3" w:rsidRDefault="00947404" w:rsidP="00947404">
            <w:pPr>
              <w:tabs>
                <w:tab w:val="left" w:pos="5220"/>
              </w:tabs>
              <w:jc w:val="center"/>
              <w:rPr>
                <w:b/>
                <w:sz w:val="20"/>
                <w:szCs w:val="20"/>
                <w:vertAlign w:val="superscript"/>
              </w:rPr>
            </w:pPr>
          </w:p>
        </w:tc>
      </w:tr>
    </w:tbl>
    <w:bookmarkEnd w:id="1"/>
    <w:p w14:paraId="754560E4" w14:textId="77777777" w:rsidR="00B03B00" w:rsidRDefault="00B03B00" w:rsidP="00B03B00">
      <w:pPr>
        <w:pStyle w:val="Title"/>
        <w:jc w:val="left"/>
        <w:rPr>
          <w:rFonts w:ascii="Tms Rmn" w:hAnsi="Tms Rmn" w:cs="Tms Rmn"/>
          <w:b w:val="0"/>
          <w:color w:val="000000"/>
          <w:sz w:val="20"/>
          <w:szCs w:val="20"/>
        </w:rPr>
      </w:pPr>
      <w:r w:rsidRPr="002F3D57">
        <w:rPr>
          <w:rFonts w:ascii="Tms Rmn" w:hAnsi="Tms Rmn" w:cs="Tms Rmn"/>
          <w:b w:val="0"/>
          <w:color w:val="000000"/>
          <w:sz w:val="20"/>
          <w:szCs w:val="20"/>
          <w:vertAlign w:val="superscript"/>
        </w:rPr>
        <w:t>1</w:t>
      </w:r>
      <w:r w:rsidRPr="002F3D57">
        <w:rPr>
          <w:rFonts w:ascii="Tms Rmn" w:hAnsi="Tms Rmn" w:cs="Tms Rmn"/>
          <w:b w:val="0"/>
          <w:color w:val="000000"/>
          <w:sz w:val="20"/>
          <w:szCs w:val="20"/>
        </w:rPr>
        <w:t xml:space="preserve"> Title V </w:t>
      </w:r>
      <w:r>
        <w:rPr>
          <w:rFonts w:ascii="Tms Rmn" w:hAnsi="Tms Rmn" w:cs="Tms Rmn"/>
          <w:b w:val="0"/>
          <w:color w:val="000000"/>
          <w:sz w:val="20"/>
          <w:szCs w:val="20"/>
        </w:rPr>
        <w:t xml:space="preserve">Major Source </w:t>
      </w:r>
      <w:r w:rsidRPr="002F3D57">
        <w:rPr>
          <w:rFonts w:ascii="Tms Rmn" w:hAnsi="Tms Rmn" w:cs="Tms Rmn"/>
          <w:b w:val="0"/>
          <w:color w:val="000000"/>
          <w:sz w:val="20"/>
          <w:szCs w:val="20"/>
        </w:rPr>
        <w:t>Avoidance Limit</w:t>
      </w:r>
    </w:p>
    <w:p w14:paraId="01A2F78E" w14:textId="77777777" w:rsidR="00B03B00" w:rsidRDefault="00B03B00" w:rsidP="00B03B00">
      <w:pPr>
        <w:pStyle w:val="Title"/>
        <w:jc w:val="left"/>
        <w:rPr>
          <w:rFonts w:ascii="Tms Rmn" w:hAnsi="Tms Rmn" w:cs="Tms Rmn"/>
          <w:b w:val="0"/>
          <w:color w:val="000000"/>
          <w:sz w:val="20"/>
          <w:szCs w:val="20"/>
        </w:rPr>
      </w:pPr>
    </w:p>
    <w:p w14:paraId="63FFA547" w14:textId="77FBFC81" w:rsidR="00B03B00" w:rsidRPr="0008528D" w:rsidRDefault="00B03B00" w:rsidP="00B03B00">
      <w:pPr>
        <w:pStyle w:val="Title"/>
        <w:jc w:val="both"/>
        <w:rPr>
          <w:b w:val="0"/>
          <w:bCs w:val="0"/>
        </w:rPr>
      </w:pPr>
      <w:r w:rsidRPr="00914BCC">
        <w:rPr>
          <w:b w:val="0"/>
          <w:bCs w:val="0"/>
        </w:rPr>
        <w:t xml:space="preserve">Based on </w:t>
      </w:r>
      <w:r w:rsidR="00914BCC" w:rsidRPr="00914BCC">
        <w:rPr>
          <w:b w:val="0"/>
          <w:bCs w:val="0"/>
        </w:rPr>
        <w:t>the</w:t>
      </w:r>
      <w:r w:rsidRPr="00914BCC">
        <w:rPr>
          <w:b w:val="0"/>
          <w:bCs w:val="0"/>
        </w:rPr>
        <w:t xml:space="preserve"> maximum </w:t>
      </w:r>
      <w:r w:rsidR="00F87B14">
        <w:rPr>
          <w:b w:val="0"/>
          <w:bCs w:val="0"/>
        </w:rPr>
        <w:t xml:space="preserve">uncontrolled </w:t>
      </w:r>
      <w:r w:rsidR="00622F70">
        <w:rPr>
          <w:b w:val="0"/>
          <w:bCs w:val="0"/>
        </w:rPr>
        <w:t xml:space="preserve">operation of all </w:t>
      </w:r>
      <w:r w:rsidR="00914BCC" w:rsidRPr="00914BCC">
        <w:rPr>
          <w:b w:val="0"/>
          <w:bCs w:val="0"/>
        </w:rPr>
        <w:t>emission sources</w:t>
      </w:r>
      <w:r w:rsidRPr="00914BCC">
        <w:rPr>
          <w:b w:val="0"/>
          <w:bCs w:val="0"/>
        </w:rPr>
        <w:t xml:space="preserve">, the facility has the potential to emit </w:t>
      </w:r>
      <w:r w:rsidR="00F87B14">
        <w:rPr>
          <w:b w:val="0"/>
          <w:bCs w:val="0"/>
        </w:rPr>
        <w:t>nitrogen o</w:t>
      </w:r>
      <w:r w:rsidR="00914BCC" w:rsidRPr="00914BCC">
        <w:rPr>
          <w:b w:val="0"/>
          <w:bCs w:val="0"/>
        </w:rPr>
        <w:t>xides (NO</w:t>
      </w:r>
      <w:r w:rsidR="00914BCC" w:rsidRPr="00914BCC">
        <w:rPr>
          <w:b w:val="0"/>
          <w:bCs w:val="0"/>
          <w:vertAlign w:val="subscript"/>
        </w:rPr>
        <w:t>X</w:t>
      </w:r>
      <w:r w:rsidR="00914BCC" w:rsidRPr="00914BCC">
        <w:rPr>
          <w:b w:val="0"/>
          <w:bCs w:val="0"/>
        </w:rPr>
        <w:t xml:space="preserve">) and </w:t>
      </w:r>
      <w:r w:rsidR="00F87B14">
        <w:rPr>
          <w:b w:val="0"/>
          <w:bCs w:val="0"/>
        </w:rPr>
        <w:t>c</w:t>
      </w:r>
      <w:r w:rsidR="00914BCC" w:rsidRPr="00914BCC">
        <w:rPr>
          <w:b w:val="0"/>
          <w:bCs w:val="0"/>
        </w:rPr>
        <w:t xml:space="preserve">arbon </w:t>
      </w:r>
      <w:r w:rsidR="00F87B14">
        <w:rPr>
          <w:b w:val="0"/>
          <w:bCs w:val="0"/>
        </w:rPr>
        <w:t>m</w:t>
      </w:r>
      <w:r w:rsidR="00914BCC" w:rsidRPr="00914BCC">
        <w:rPr>
          <w:b w:val="0"/>
          <w:bCs w:val="0"/>
        </w:rPr>
        <w:t>onoxide (CO)</w:t>
      </w:r>
      <w:r w:rsidRPr="00914BCC">
        <w:rPr>
          <w:b w:val="0"/>
          <w:bCs w:val="0"/>
        </w:rPr>
        <w:t xml:space="preserve"> in excess of the Title V major source threshold </w:t>
      </w:r>
      <w:r w:rsidR="00622F70">
        <w:rPr>
          <w:b w:val="0"/>
          <w:bCs w:val="0"/>
        </w:rPr>
        <w:t xml:space="preserve">of </w:t>
      </w:r>
      <w:r w:rsidRPr="00914BCC">
        <w:rPr>
          <w:b w:val="0"/>
          <w:bCs w:val="0"/>
        </w:rPr>
        <w:t xml:space="preserve">100 </w:t>
      </w:r>
      <w:r w:rsidR="00622F70">
        <w:rPr>
          <w:b w:val="0"/>
          <w:bCs w:val="0"/>
        </w:rPr>
        <w:t>tons per year (</w:t>
      </w:r>
      <w:proofErr w:type="spellStart"/>
      <w:r w:rsidRPr="00914BCC">
        <w:rPr>
          <w:b w:val="0"/>
          <w:bCs w:val="0"/>
        </w:rPr>
        <w:t>tpy</w:t>
      </w:r>
      <w:proofErr w:type="spellEnd"/>
      <w:r w:rsidRPr="00914BCC">
        <w:rPr>
          <w:b w:val="0"/>
          <w:bCs w:val="0"/>
        </w:rPr>
        <w:t xml:space="preserve">).  </w:t>
      </w:r>
      <w:r w:rsidR="00F87B14">
        <w:rPr>
          <w:b w:val="0"/>
          <w:bCs w:val="0"/>
        </w:rPr>
        <w:t>However, t</w:t>
      </w:r>
      <w:r w:rsidR="00BA1DDB">
        <w:rPr>
          <w:b w:val="0"/>
          <w:bCs w:val="0"/>
        </w:rPr>
        <w:t>he facility will remain</w:t>
      </w:r>
      <w:r w:rsidRPr="00914BCC">
        <w:rPr>
          <w:b w:val="0"/>
          <w:bCs w:val="0"/>
        </w:rPr>
        <w:t xml:space="preserve"> a synthetic minor source</w:t>
      </w:r>
      <w:r w:rsidR="00BA1DDB">
        <w:rPr>
          <w:b w:val="0"/>
          <w:bCs w:val="0"/>
        </w:rPr>
        <w:t xml:space="preserve"> by limiting</w:t>
      </w:r>
      <w:r w:rsidR="00914BCC" w:rsidRPr="00914BCC">
        <w:rPr>
          <w:b w:val="0"/>
          <w:bCs w:val="0"/>
        </w:rPr>
        <w:t xml:space="preserve"> the </w:t>
      </w:r>
      <w:r w:rsidR="00FA412D" w:rsidRPr="00FA412D">
        <w:rPr>
          <w:b w:val="0"/>
          <w:bCs w:val="0"/>
        </w:rPr>
        <w:t>NO</w:t>
      </w:r>
      <w:r w:rsidR="00FA412D" w:rsidRPr="00FA412D">
        <w:rPr>
          <w:b w:val="0"/>
          <w:bCs w:val="0"/>
          <w:vertAlign w:val="subscript"/>
        </w:rPr>
        <w:t>X</w:t>
      </w:r>
      <w:r w:rsidR="00FA412D">
        <w:rPr>
          <w:b w:val="0"/>
          <w:bCs w:val="0"/>
        </w:rPr>
        <w:t xml:space="preserve"> and CO </w:t>
      </w:r>
      <w:r w:rsidR="00914BCC" w:rsidRPr="00FA412D">
        <w:rPr>
          <w:b w:val="0"/>
          <w:bCs w:val="0"/>
        </w:rPr>
        <w:t>emissions</w:t>
      </w:r>
      <w:r w:rsidR="00914BCC" w:rsidRPr="00914BCC">
        <w:rPr>
          <w:b w:val="0"/>
          <w:bCs w:val="0"/>
        </w:rPr>
        <w:t xml:space="preserve"> from the</w:t>
      </w:r>
      <w:r w:rsidR="00FA412D">
        <w:rPr>
          <w:b w:val="0"/>
          <w:bCs w:val="0"/>
        </w:rPr>
        <w:t xml:space="preserve"> </w:t>
      </w:r>
      <w:r w:rsidR="00914BCC" w:rsidRPr="00914BCC">
        <w:rPr>
          <w:b w:val="0"/>
          <w:bCs w:val="0"/>
        </w:rPr>
        <w:t>largest</w:t>
      </w:r>
      <w:r w:rsidR="00275068">
        <w:rPr>
          <w:b w:val="0"/>
          <w:bCs w:val="0"/>
        </w:rPr>
        <w:t xml:space="preserve"> emitting sources (</w:t>
      </w:r>
      <w:r w:rsidR="00023292">
        <w:rPr>
          <w:b w:val="0"/>
          <w:bCs w:val="0"/>
        </w:rPr>
        <w:t xml:space="preserve">i.e. </w:t>
      </w:r>
      <w:r w:rsidR="00275068">
        <w:rPr>
          <w:b w:val="0"/>
          <w:bCs w:val="0"/>
        </w:rPr>
        <w:t xml:space="preserve">Emission Points </w:t>
      </w:r>
      <w:r w:rsidR="00914BCC" w:rsidRPr="00914BCC">
        <w:rPr>
          <w:b w:val="0"/>
          <w:bCs w:val="0"/>
        </w:rPr>
        <w:t>AA-009 and AA-010)</w:t>
      </w:r>
      <w:r w:rsidRPr="00914BCC">
        <w:rPr>
          <w:b w:val="0"/>
          <w:bCs w:val="0"/>
        </w:rPr>
        <w:t xml:space="preserve"> through operational restrictions</w:t>
      </w:r>
      <w:r w:rsidR="00914BCC" w:rsidRPr="00914BCC">
        <w:rPr>
          <w:b w:val="0"/>
          <w:bCs w:val="0"/>
        </w:rPr>
        <w:t>.</w:t>
      </w:r>
      <w:r w:rsidR="00914BCC">
        <w:rPr>
          <w:b w:val="0"/>
          <w:bCs w:val="0"/>
        </w:rPr>
        <w:t xml:space="preserve"> </w:t>
      </w:r>
      <w:r w:rsidR="00F87B14">
        <w:rPr>
          <w:b w:val="0"/>
          <w:bCs w:val="0"/>
        </w:rPr>
        <w:t xml:space="preserve"> </w:t>
      </w:r>
      <w:r w:rsidR="00FA412D">
        <w:rPr>
          <w:b w:val="0"/>
          <w:bCs w:val="0"/>
        </w:rPr>
        <w:t xml:space="preserve">The </w:t>
      </w:r>
      <w:r w:rsidR="00023292">
        <w:rPr>
          <w:b w:val="0"/>
          <w:bCs w:val="0"/>
        </w:rPr>
        <w:t>other</w:t>
      </w:r>
      <w:r w:rsidR="00F81967">
        <w:rPr>
          <w:b w:val="0"/>
          <w:bCs w:val="0"/>
        </w:rPr>
        <w:t xml:space="preserve"> emission sources that have the potential to emit</w:t>
      </w:r>
      <w:r w:rsidR="00023292">
        <w:rPr>
          <w:b w:val="0"/>
          <w:bCs w:val="0"/>
        </w:rPr>
        <w:t xml:space="preserve"> </w:t>
      </w:r>
      <w:r w:rsidR="0008528D">
        <w:rPr>
          <w:b w:val="0"/>
          <w:bCs w:val="0"/>
        </w:rPr>
        <w:t>large</w:t>
      </w:r>
      <w:r w:rsidR="00F81967">
        <w:rPr>
          <w:b w:val="0"/>
          <w:bCs w:val="0"/>
        </w:rPr>
        <w:t xml:space="preserve"> amounts of </w:t>
      </w:r>
      <w:r w:rsidR="00FA412D">
        <w:rPr>
          <w:b w:val="0"/>
          <w:bCs w:val="0"/>
        </w:rPr>
        <w:t>NO</w:t>
      </w:r>
      <w:r w:rsidR="00FA412D">
        <w:rPr>
          <w:b w:val="0"/>
          <w:bCs w:val="0"/>
          <w:vertAlign w:val="subscript"/>
        </w:rPr>
        <w:t>X</w:t>
      </w:r>
      <w:r w:rsidR="00FA412D">
        <w:rPr>
          <w:b w:val="0"/>
          <w:bCs w:val="0"/>
        </w:rPr>
        <w:t xml:space="preserve"> and CO are engines </w:t>
      </w:r>
      <w:r w:rsidR="00324876">
        <w:rPr>
          <w:b w:val="0"/>
          <w:bCs w:val="0"/>
        </w:rPr>
        <w:t>to be used in</w:t>
      </w:r>
      <w:r w:rsidR="00275068">
        <w:rPr>
          <w:b w:val="0"/>
          <w:bCs w:val="0"/>
        </w:rPr>
        <w:t xml:space="preserve"> emergenc</w:t>
      </w:r>
      <w:r w:rsidR="00324876">
        <w:rPr>
          <w:b w:val="0"/>
          <w:bCs w:val="0"/>
        </w:rPr>
        <w:t>y</w:t>
      </w:r>
      <w:r w:rsidR="00275068">
        <w:rPr>
          <w:b w:val="0"/>
          <w:bCs w:val="0"/>
        </w:rPr>
        <w:t xml:space="preserve"> </w:t>
      </w:r>
      <w:r w:rsidR="00324876">
        <w:rPr>
          <w:b w:val="0"/>
          <w:bCs w:val="0"/>
        </w:rPr>
        <w:t xml:space="preserve">situations </w:t>
      </w:r>
      <w:r w:rsidR="00275068">
        <w:rPr>
          <w:b w:val="0"/>
          <w:bCs w:val="0"/>
        </w:rPr>
        <w:t>only</w:t>
      </w:r>
      <w:r w:rsidR="00023292">
        <w:rPr>
          <w:b w:val="0"/>
          <w:bCs w:val="0"/>
        </w:rPr>
        <w:t xml:space="preserve"> (</w:t>
      </w:r>
      <w:r w:rsidR="00324876">
        <w:rPr>
          <w:b w:val="0"/>
          <w:bCs w:val="0"/>
        </w:rPr>
        <w:t xml:space="preserve">i.e. </w:t>
      </w:r>
      <w:r w:rsidR="00023292">
        <w:rPr>
          <w:b w:val="0"/>
          <w:bCs w:val="0"/>
        </w:rPr>
        <w:t>Emission Points AA-011, AA-012, AA-013, AA-015 and AA-048)</w:t>
      </w:r>
      <w:r w:rsidR="00275068">
        <w:rPr>
          <w:b w:val="0"/>
          <w:bCs w:val="0"/>
        </w:rPr>
        <w:t>.</w:t>
      </w:r>
      <w:r w:rsidR="00F87B14">
        <w:rPr>
          <w:b w:val="0"/>
          <w:bCs w:val="0"/>
        </w:rPr>
        <w:t xml:space="preserve"> </w:t>
      </w:r>
      <w:r w:rsidR="00275068">
        <w:rPr>
          <w:b w:val="0"/>
          <w:bCs w:val="0"/>
        </w:rPr>
        <w:t xml:space="preserve"> </w:t>
      </w:r>
      <w:r w:rsidR="00F81967">
        <w:rPr>
          <w:b w:val="0"/>
          <w:bCs w:val="0"/>
        </w:rPr>
        <w:t>Thus, t</w:t>
      </w:r>
      <w:r w:rsidR="00FA412D">
        <w:rPr>
          <w:b w:val="0"/>
          <w:bCs w:val="0"/>
        </w:rPr>
        <w:t xml:space="preserve">hese units are </w:t>
      </w:r>
      <w:r w:rsidR="00171E4E">
        <w:rPr>
          <w:b w:val="0"/>
          <w:bCs w:val="0"/>
        </w:rPr>
        <w:t>expected to emit a small fractio</w:t>
      </w:r>
      <w:r w:rsidR="00275068">
        <w:rPr>
          <w:b w:val="0"/>
          <w:bCs w:val="0"/>
        </w:rPr>
        <w:t>n o</w:t>
      </w:r>
      <w:r w:rsidR="0008528D">
        <w:rPr>
          <w:b w:val="0"/>
          <w:bCs w:val="0"/>
        </w:rPr>
        <w:t>f their potential emissions and will not contribute significantly to the facility</w:t>
      </w:r>
      <w:r w:rsidR="00F87B14">
        <w:rPr>
          <w:b w:val="0"/>
          <w:bCs w:val="0"/>
        </w:rPr>
        <w:t>-wide</w:t>
      </w:r>
      <w:r w:rsidR="0008528D">
        <w:rPr>
          <w:b w:val="0"/>
          <w:bCs w:val="0"/>
        </w:rPr>
        <w:t xml:space="preserve"> total </w:t>
      </w:r>
      <w:r w:rsidR="008C2CA1">
        <w:rPr>
          <w:b w:val="0"/>
          <w:bCs w:val="0"/>
        </w:rPr>
        <w:t xml:space="preserve">of </w:t>
      </w:r>
      <w:r w:rsidR="0008528D">
        <w:rPr>
          <w:b w:val="0"/>
          <w:bCs w:val="0"/>
        </w:rPr>
        <w:t>NO</w:t>
      </w:r>
      <w:r w:rsidR="0008528D">
        <w:rPr>
          <w:b w:val="0"/>
          <w:bCs w:val="0"/>
          <w:vertAlign w:val="subscript"/>
        </w:rPr>
        <w:t xml:space="preserve">X </w:t>
      </w:r>
      <w:r w:rsidR="0008528D">
        <w:rPr>
          <w:b w:val="0"/>
          <w:bCs w:val="0"/>
        </w:rPr>
        <w:t>and CO emissions.</w:t>
      </w:r>
    </w:p>
    <w:p w14:paraId="61747274" w14:textId="77777777" w:rsidR="001D7E96" w:rsidRDefault="001D7E96" w:rsidP="001D7E96">
      <w:pPr>
        <w:pStyle w:val="Title"/>
        <w:jc w:val="left"/>
        <w:rPr>
          <w:b w:val="0"/>
          <w:bCs w:val="0"/>
        </w:rPr>
      </w:pPr>
    </w:p>
    <w:p w14:paraId="4B57B364" w14:textId="77777777" w:rsidR="001D7E96" w:rsidRDefault="001D7E96" w:rsidP="001D7E96">
      <w:pPr>
        <w:pStyle w:val="Title"/>
        <w:jc w:val="left"/>
        <w:rPr>
          <w:u w:val="single"/>
        </w:rPr>
      </w:pPr>
      <w:r>
        <w:rPr>
          <w:rFonts w:ascii="Tms Rmn" w:hAnsi="Tms Rmn" w:cs="Tms Rmn"/>
          <w:color w:val="000000"/>
          <w:u w:val="single"/>
        </w:rPr>
        <w:t>APPLICABLE/PROPOSED PERMIT LIMITATIONS</w:t>
      </w:r>
    </w:p>
    <w:p w14:paraId="7E89E8B4" w14:textId="77777777" w:rsidR="001D7E96" w:rsidRDefault="00EF1319" w:rsidP="00C21896">
      <w:pPr>
        <w:pStyle w:val="BodyText2"/>
        <w:tabs>
          <w:tab w:val="left" w:pos="5220"/>
        </w:tabs>
        <w:spacing w:line="240" w:lineRule="auto"/>
        <w:rPr>
          <w:rFonts w:ascii="Times New Roman" w:hAnsi="Times New Roman" w:cs="Times New Roman"/>
          <w:color w:val="auto"/>
        </w:rPr>
      </w:pPr>
      <w:r>
        <w:rPr>
          <w:rFonts w:ascii="Times New Roman" w:hAnsi="Times New Roman" w:cs="Times New Roman"/>
          <w:color w:val="auto"/>
        </w:rPr>
        <w:t>For Emission Points AA-009 and AA-010</w:t>
      </w:r>
      <w:r w:rsidR="00FA412D">
        <w:rPr>
          <w:rFonts w:ascii="Times New Roman" w:hAnsi="Times New Roman" w:cs="Times New Roman"/>
          <w:color w:val="auto"/>
        </w:rPr>
        <w:t xml:space="preserve">, </w:t>
      </w:r>
      <w:r w:rsidR="00586542">
        <w:rPr>
          <w:rFonts w:ascii="Times New Roman" w:hAnsi="Times New Roman" w:cs="Times New Roman"/>
          <w:color w:val="auto"/>
        </w:rPr>
        <w:t xml:space="preserve">each unit will comply with the following </w:t>
      </w:r>
      <w:r w:rsidR="00FA412D">
        <w:rPr>
          <w:rFonts w:ascii="Times New Roman" w:hAnsi="Times New Roman" w:cs="Times New Roman"/>
          <w:color w:val="auto"/>
        </w:rPr>
        <w:t>limitations</w:t>
      </w:r>
      <w:r>
        <w:rPr>
          <w:rFonts w:ascii="Times New Roman" w:hAnsi="Times New Roman" w:cs="Times New Roman"/>
          <w:color w:val="auto"/>
        </w:rPr>
        <w:t>:</w:t>
      </w:r>
    </w:p>
    <w:p w14:paraId="40CF293B" w14:textId="7BC993FC" w:rsidR="00586542" w:rsidRDefault="00586542" w:rsidP="00C21896">
      <w:pPr>
        <w:pStyle w:val="BodyText2"/>
        <w:tabs>
          <w:tab w:val="left" w:pos="5220"/>
        </w:tabs>
        <w:spacing w:line="240" w:lineRule="auto"/>
        <w:ind w:left="720"/>
      </w:pPr>
    </w:p>
    <w:p w14:paraId="16306156" w14:textId="6F55DC86" w:rsidR="00B42A50" w:rsidRDefault="001E2A82" w:rsidP="004D3D1A">
      <w:pPr>
        <w:pStyle w:val="BodyText2"/>
        <w:numPr>
          <w:ilvl w:val="0"/>
          <w:numId w:val="11"/>
        </w:numPr>
        <w:tabs>
          <w:tab w:val="left" w:pos="5220"/>
        </w:tabs>
        <w:spacing w:line="240" w:lineRule="auto"/>
        <w:ind w:left="360"/>
      </w:pPr>
      <w:r>
        <w:t>No more than</w:t>
      </w:r>
      <w:r w:rsidR="00E369D5" w:rsidRPr="00E369D5">
        <w:t>1000</w:t>
      </w:r>
      <w:r>
        <w:t>.0</w:t>
      </w:r>
      <w:r w:rsidR="00F9762E" w:rsidRPr="00E369D5">
        <w:t xml:space="preserve"> hours of operation per year</w:t>
      </w:r>
      <w:r w:rsidR="00B42A50">
        <w:t xml:space="preserve"> </w:t>
      </w:r>
      <w:r>
        <w:t>(rolling 12-month total)</w:t>
      </w:r>
      <w:r w:rsidR="0004503A">
        <w:t xml:space="preserve"> </w:t>
      </w:r>
      <w:r>
        <w:t>for each engine</w:t>
      </w:r>
      <w:r w:rsidR="00872750">
        <w:t>. T</w:t>
      </w:r>
      <w:r w:rsidR="00F9762E">
        <w:t xml:space="preserve">he </w:t>
      </w:r>
      <w:r w:rsidR="00396978">
        <w:t xml:space="preserve">total </w:t>
      </w:r>
      <w:r w:rsidR="00586542" w:rsidRPr="00586542">
        <w:t>NO</w:t>
      </w:r>
      <w:r w:rsidR="00586542" w:rsidRPr="004D3D1A">
        <w:rPr>
          <w:vertAlign w:val="subscript"/>
        </w:rPr>
        <w:t>X</w:t>
      </w:r>
      <w:r w:rsidR="00586542">
        <w:t xml:space="preserve"> and CO </w:t>
      </w:r>
      <w:r w:rsidR="00F9762E">
        <w:t xml:space="preserve">emission limits, in tons per year, are based on </w:t>
      </w:r>
      <w:r w:rsidR="00E369D5" w:rsidRPr="00E369D5">
        <w:t>10</w:t>
      </w:r>
      <w:r w:rsidR="00F9762E" w:rsidRPr="00E369D5">
        <w:t>00</w:t>
      </w:r>
      <w:r>
        <w:t>.0</w:t>
      </w:r>
      <w:r w:rsidR="00F9762E" w:rsidRPr="00E369D5">
        <w:t xml:space="preserve"> hours</w:t>
      </w:r>
      <w:r w:rsidR="00F9762E">
        <w:t xml:space="preserve"> of operation per year</w:t>
      </w:r>
      <w:r>
        <w:t xml:space="preserve"> for each engine</w:t>
      </w:r>
      <w:r w:rsidR="00F9762E">
        <w:t xml:space="preserve">. </w:t>
      </w:r>
      <w:r w:rsidR="0004503A">
        <w:t xml:space="preserve"> </w:t>
      </w:r>
      <w:r w:rsidR="00F9762E">
        <w:t>T</w:t>
      </w:r>
      <w:r w:rsidR="00B42A50" w:rsidRPr="00586542">
        <w:t>he</w:t>
      </w:r>
      <w:r w:rsidR="00B42A50">
        <w:t xml:space="preserve"> facility </w:t>
      </w:r>
      <w:r w:rsidR="0004503A">
        <w:t xml:space="preserve">must </w:t>
      </w:r>
      <w:r w:rsidR="00B42A50">
        <w:t>record the hours of operation</w:t>
      </w:r>
      <w:r w:rsidR="00F9762E">
        <w:t xml:space="preserve"> </w:t>
      </w:r>
      <w:r w:rsidR="0004503A">
        <w:t>for each</w:t>
      </w:r>
      <w:r w:rsidR="00F9762E">
        <w:t xml:space="preserve"> engine</w:t>
      </w:r>
      <w:r w:rsidR="00B42A50">
        <w:t xml:space="preserve"> daily</w:t>
      </w:r>
      <w:r w:rsidR="00F9762E">
        <w:t>.</w:t>
      </w:r>
    </w:p>
    <w:p w14:paraId="5912DBE2" w14:textId="77777777" w:rsidR="00F9762E" w:rsidRDefault="00F9762E" w:rsidP="00F87B14">
      <w:pPr>
        <w:pStyle w:val="BodyText2"/>
        <w:tabs>
          <w:tab w:val="left" w:pos="5220"/>
        </w:tabs>
        <w:spacing w:line="240" w:lineRule="auto"/>
        <w:ind w:left="360"/>
      </w:pPr>
    </w:p>
    <w:p w14:paraId="438A5D6B" w14:textId="2431B188" w:rsidR="00B42A50" w:rsidRDefault="00B42A50" w:rsidP="00F87B14">
      <w:pPr>
        <w:pStyle w:val="BodyText2"/>
        <w:numPr>
          <w:ilvl w:val="0"/>
          <w:numId w:val="11"/>
        </w:numPr>
        <w:tabs>
          <w:tab w:val="left" w:pos="5220"/>
        </w:tabs>
        <w:spacing w:line="240" w:lineRule="auto"/>
        <w:ind w:left="360"/>
      </w:pPr>
      <w:r>
        <w:t xml:space="preserve">Carbon Monoxide (CO) </w:t>
      </w:r>
      <w:r w:rsidR="0004503A">
        <w:t>–</w:t>
      </w:r>
      <w:r>
        <w:t xml:space="preserve"> 23 </w:t>
      </w:r>
      <w:proofErr w:type="spellStart"/>
      <w:r>
        <w:t>ppmvd</w:t>
      </w:r>
      <w:proofErr w:type="spellEnd"/>
      <w:r>
        <w:t xml:space="preserve"> at 15% </w:t>
      </w:r>
      <w:r w:rsidR="0004503A">
        <w:t>oxygen</w:t>
      </w:r>
      <w:r w:rsidR="0004503A" w:rsidRPr="00B42A50">
        <w:t xml:space="preserve"> </w:t>
      </w:r>
      <w:r w:rsidRPr="00B42A50">
        <w:t>or reduce CO by 70% or more</w:t>
      </w:r>
      <w:r>
        <w:t xml:space="preserve"> </w:t>
      </w:r>
      <w:r w:rsidR="0004503A">
        <w:t>– t</w:t>
      </w:r>
      <w:r>
        <w:t>he facility stack-tests for CO every 8760 hours of operation or every 3 years</w:t>
      </w:r>
      <w:r w:rsidR="00F9762E">
        <w:t>, as required by 40 CFR Part 63, Subpart ZZZZ,</w:t>
      </w:r>
      <w:r>
        <w:t xml:space="preserve"> and monitors the temperature and pressure of the engines’ oxidation catalyst</w:t>
      </w:r>
      <w:r w:rsidR="00F9762E">
        <w:t>s</w:t>
      </w:r>
      <w:r>
        <w:t>.</w:t>
      </w:r>
    </w:p>
    <w:p w14:paraId="2E2EB66D" w14:textId="77777777" w:rsidR="00F9762E" w:rsidRDefault="00F9762E" w:rsidP="00C21896">
      <w:pPr>
        <w:pStyle w:val="BodyText2"/>
        <w:tabs>
          <w:tab w:val="left" w:pos="5220"/>
        </w:tabs>
        <w:spacing w:line="240" w:lineRule="auto"/>
        <w:ind w:left="720"/>
      </w:pPr>
    </w:p>
    <w:p w14:paraId="5119444B" w14:textId="77777777" w:rsidR="00A30DC8" w:rsidRDefault="00B42A50" w:rsidP="00C21896">
      <w:pPr>
        <w:pStyle w:val="BodyText2"/>
        <w:tabs>
          <w:tab w:val="left" w:pos="5220"/>
        </w:tabs>
        <w:spacing w:line="240" w:lineRule="auto"/>
      </w:pPr>
      <w:r>
        <w:t xml:space="preserve">For Emission Points </w:t>
      </w:r>
      <w:r w:rsidR="00A30DC8">
        <w:t xml:space="preserve">AA-007, AA-008, AA-038 through </w:t>
      </w:r>
      <w:r w:rsidR="00A30DC8" w:rsidRPr="00A30DC8">
        <w:t>AA-047</w:t>
      </w:r>
      <w:r w:rsidR="00FA412D">
        <w:t>, the facility will comply with the following limitations</w:t>
      </w:r>
      <w:r w:rsidR="00A30DC8">
        <w:t>:</w:t>
      </w:r>
    </w:p>
    <w:p w14:paraId="515DE323" w14:textId="77777777" w:rsidR="00F9762E" w:rsidRDefault="00F9762E" w:rsidP="00C21896">
      <w:pPr>
        <w:pStyle w:val="BodyText2"/>
        <w:tabs>
          <w:tab w:val="left" w:pos="5220"/>
        </w:tabs>
        <w:spacing w:line="240" w:lineRule="auto"/>
      </w:pPr>
    </w:p>
    <w:p w14:paraId="19DF9327" w14:textId="77777777" w:rsidR="00F9762E" w:rsidRDefault="00A30DC8" w:rsidP="00C21896">
      <w:pPr>
        <w:pStyle w:val="BodyText2"/>
        <w:numPr>
          <w:ilvl w:val="0"/>
          <w:numId w:val="13"/>
        </w:numPr>
        <w:tabs>
          <w:tab w:val="left" w:pos="5220"/>
        </w:tabs>
        <w:spacing w:line="240" w:lineRule="auto"/>
      </w:pPr>
      <w:r>
        <w:t>Sulfur Dioxide (SO</w:t>
      </w:r>
      <w:r>
        <w:rPr>
          <w:vertAlign w:val="subscript"/>
        </w:rPr>
        <w:t>2</w:t>
      </w:r>
      <w:r w:rsidR="00F9762E">
        <w:t>) – 4.8 lb</w:t>
      </w:r>
      <w:r w:rsidR="004D3D1A">
        <w:t xml:space="preserve">s. </w:t>
      </w:r>
      <w:r w:rsidR="00F9762E">
        <w:t>/ MMBtu</w:t>
      </w:r>
    </w:p>
    <w:p w14:paraId="311D060D" w14:textId="77777777" w:rsidR="00F9762E" w:rsidRDefault="00F9762E" w:rsidP="00C21896">
      <w:pPr>
        <w:pStyle w:val="BodyText2"/>
        <w:tabs>
          <w:tab w:val="left" w:pos="5220"/>
        </w:tabs>
        <w:spacing w:line="240" w:lineRule="auto"/>
        <w:ind w:left="720"/>
      </w:pPr>
    </w:p>
    <w:p w14:paraId="417DF41E" w14:textId="77777777" w:rsidR="00F9762E" w:rsidRDefault="00A30DC8" w:rsidP="00C21896">
      <w:pPr>
        <w:pStyle w:val="BodyText2"/>
        <w:numPr>
          <w:ilvl w:val="0"/>
          <w:numId w:val="13"/>
        </w:numPr>
        <w:tabs>
          <w:tab w:val="left" w:pos="5220"/>
        </w:tabs>
        <w:spacing w:line="240" w:lineRule="auto"/>
      </w:pPr>
      <w:r>
        <w:t>Particula</w:t>
      </w:r>
      <w:r w:rsidR="00F9762E">
        <w:t>te Matter (PM) – 0.6 lb</w:t>
      </w:r>
      <w:r w:rsidR="004D3D1A">
        <w:t xml:space="preserve">s. </w:t>
      </w:r>
      <w:r w:rsidR="00F9762E">
        <w:t>/ MMBtu</w:t>
      </w:r>
    </w:p>
    <w:p w14:paraId="180B031C" w14:textId="77777777" w:rsidR="00F9762E" w:rsidRDefault="00F9762E" w:rsidP="00C21896">
      <w:pPr>
        <w:pStyle w:val="ListParagraph"/>
        <w:jc w:val="both"/>
      </w:pPr>
    </w:p>
    <w:p w14:paraId="79830556" w14:textId="77777777" w:rsidR="00F9762E" w:rsidRDefault="00F9762E" w:rsidP="00C21896">
      <w:pPr>
        <w:pStyle w:val="BodyText2"/>
        <w:numPr>
          <w:ilvl w:val="0"/>
          <w:numId w:val="13"/>
        </w:numPr>
        <w:tabs>
          <w:tab w:val="left" w:pos="5220"/>
        </w:tabs>
        <w:spacing w:line="240" w:lineRule="auto"/>
      </w:pPr>
      <w:r>
        <w:t>Opacity - 40%</w:t>
      </w:r>
    </w:p>
    <w:p w14:paraId="3270AEFA" w14:textId="77777777" w:rsidR="00F9762E" w:rsidRDefault="00F9762E" w:rsidP="00C21896">
      <w:pPr>
        <w:pStyle w:val="ListParagraph"/>
        <w:tabs>
          <w:tab w:val="left" w:pos="8595"/>
        </w:tabs>
        <w:jc w:val="both"/>
      </w:pPr>
      <w:r>
        <w:tab/>
      </w:r>
    </w:p>
    <w:p w14:paraId="27F574AE" w14:textId="77777777" w:rsidR="00A30DC8" w:rsidRPr="00B42A50" w:rsidRDefault="00F9762E" w:rsidP="00C21896">
      <w:pPr>
        <w:pStyle w:val="BodyText2"/>
        <w:tabs>
          <w:tab w:val="left" w:pos="5220"/>
        </w:tabs>
        <w:spacing w:line="240" w:lineRule="auto"/>
      </w:pPr>
      <w:r>
        <w:t>T</w:t>
      </w:r>
      <w:r w:rsidR="00A30DC8">
        <w:t>he facility uses lo</w:t>
      </w:r>
      <w:r w:rsidR="00704737">
        <w:t>w-sulfur fuel (natural gas) to comply</w:t>
      </w:r>
      <w:r>
        <w:t xml:space="preserve"> with these</w:t>
      </w:r>
      <w:r w:rsidR="00A30DC8">
        <w:t xml:space="preserve"> limitation</w:t>
      </w:r>
      <w:r>
        <w:t>s</w:t>
      </w:r>
      <w:r w:rsidR="00A30DC8">
        <w:t>.</w:t>
      </w:r>
    </w:p>
    <w:p w14:paraId="0E89F21C" w14:textId="3CFFC5B2" w:rsidR="00FA412D" w:rsidRDefault="00FA412D" w:rsidP="00C21896">
      <w:pPr>
        <w:pStyle w:val="Title"/>
        <w:jc w:val="both"/>
        <w:rPr>
          <w:u w:val="single"/>
        </w:rPr>
      </w:pPr>
    </w:p>
    <w:p w14:paraId="3B501CC0" w14:textId="58693A5E" w:rsidR="00343A92" w:rsidRDefault="00343A92" w:rsidP="00C21896">
      <w:pPr>
        <w:pStyle w:val="Title"/>
        <w:jc w:val="both"/>
        <w:rPr>
          <w:u w:val="single"/>
        </w:rPr>
      </w:pPr>
    </w:p>
    <w:p w14:paraId="57F1086E" w14:textId="796779F8" w:rsidR="00343A92" w:rsidRDefault="00343A92" w:rsidP="00C21896">
      <w:pPr>
        <w:pStyle w:val="Title"/>
        <w:jc w:val="both"/>
        <w:rPr>
          <w:u w:val="single"/>
        </w:rPr>
      </w:pPr>
    </w:p>
    <w:p w14:paraId="11BF0779" w14:textId="77777777" w:rsidR="00343A92" w:rsidRDefault="00343A92" w:rsidP="00C21896">
      <w:pPr>
        <w:pStyle w:val="Title"/>
        <w:jc w:val="both"/>
        <w:rPr>
          <w:u w:val="single"/>
        </w:rPr>
      </w:pPr>
    </w:p>
    <w:p w14:paraId="5D19C6CE" w14:textId="77777777" w:rsidR="001D7E96" w:rsidRDefault="001D7E96" w:rsidP="001D7E96">
      <w:pPr>
        <w:pStyle w:val="Title"/>
        <w:jc w:val="both"/>
        <w:rPr>
          <w:u w:val="single"/>
        </w:rPr>
      </w:pPr>
      <w:r>
        <w:rPr>
          <w:u w:val="single"/>
        </w:rPr>
        <w:t>NSPS APPLICABILITY</w:t>
      </w:r>
    </w:p>
    <w:p w14:paraId="40ECB43D" w14:textId="77777777" w:rsidR="001D7E96" w:rsidRDefault="001D7E96" w:rsidP="001D7E96">
      <w:pPr>
        <w:pStyle w:val="Title"/>
        <w:jc w:val="both"/>
        <w:rPr>
          <w:u w:val="single"/>
        </w:rPr>
      </w:pPr>
    </w:p>
    <w:p w14:paraId="53CB551C" w14:textId="77777777" w:rsidR="00EF1319" w:rsidRDefault="00EF1319" w:rsidP="008C2CA1">
      <w:pPr>
        <w:pStyle w:val="Title"/>
        <w:jc w:val="both"/>
        <w:rPr>
          <w:b w:val="0"/>
          <w:bCs w:val="0"/>
        </w:rPr>
      </w:pPr>
      <w:r w:rsidRPr="00852F6B">
        <w:rPr>
          <w:bCs w:val="0"/>
        </w:rPr>
        <w:t>40 CFR 60, Subpart Dc – Standards of Performance for Small Industrial-Commercial-Institutional Steam Generating Units</w:t>
      </w:r>
      <w:r>
        <w:rPr>
          <w:b w:val="0"/>
          <w:bCs w:val="0"/>
        </w:rPr>
        <w:t xml:space="preserve"> </w:t>
      </w:r>
    </w:p>
    <w:p w14:paraId="3A8D01EB" w14:textId="77777777" w:rsidR="00EF1319" w:rsidRPr="00162821" w:rsidRDefault="00764582" w:rsidP="008C2CA1">
      <w:pPr>
        <w:pStyle w:val="Title"/>
        <w:jc w:val="both"/>
        <w:rPr>
          <w:b w:val="0"/>
          <w:bCs w:val="0"/>
        </w:rPr>
      </w:pPr>
      <w:r>
        <w:rPr>
          <w:b w:val="0"/>
          <w:bCs w:val="0"/>
        </w:rPr>
        <w:t xml:space="preserve">This subpart is applicable to </w:t>
      </w:r>
      <w:r w:rsidR="00BF126C">
        <w:rPr>
          <w:b w:val="0"/>
          <w:bCs w:val="0"/>
        </w:rPr>
        <w:t>“</w:t>
      </w:r>
      <w:r>
        <w:rPr>
          <w:b w:val="0"/>
          <w:bCs w:val="0"/>
        </w:rPr>
        <w:t>steam generating units</w:t>
      </w:r>
      <w:r w:rsidR="00BF126C">
        <w:rPr>
          <w:b w:val="0"/>
          <w:bCs w:val="0"/>
        </w:rPr>
        <w:t>”</w:t>
      </w:r>
      <w:r w:rsidR="007333EE">
        <w:rPr>
          <w:b w:val="0"/>
          <w:bCs w:val="0"/>
        </w:rPr>
        <w:t xml:space="preserve"> with maximum heat input capacity of </w:t>
      </w:r>
      <w:r>
        <w:rPr>
          <w:b w:val="0"/>
          <w:bCs w:val="0"/>
        </w:rPr>
        <w:t>100 MMB</w:t>
      </w:r>
      <w:r w:rsidR="007E1D74">
        <w:rPr>
          <w:b w:val="0"/>
          <w:bCs w:val="0"/>
        </w:rPr>
        <w:t>TU</w:t>
      </w:r>
      <w:r>
        <w:rPr>
          <w:b w:val="0"/>
          <w:bCs w:val="0"/>
        </w:rPr>
        <w:t>/</w:t>
      </w:r>
      <w:r w:rsidR="007333EE">
        <w:rPr>
          <w:b w:val="0"/>
          <w:bCs w:val="0"/>
        </w:rPr>
        <w:t xml:space="preserve"> </w:t>
      </w:r>
      <w:r w:rsidR="007E1D74">
        <w:rPr>
          <w:b w:val="0"/>
          <w:bCs w:val="0"/>
        </w:rPr>
        <w:t>hour</w:t>
      </w:r>
      <w:r>
        <w:rPr>
          <w:b w:val="0"/>
          <w:bCs w:val="0"/>
        </w:rPr>
        <w:t xml:space="preserve"> but </w:t>
      </w:r>
      <w:r w:rsidR="007333EE">
        <w:rPr>
          <w:b w:val="0"/>
          <w:bCs w:val="0"/>
        </w:rPr>
        <w:t>greater than</w:t>
      </w:r>
      <w:r>
        <w:rPr>
          <w:b w:val="0"/>
          <w:bCs w:val="0"/>
        </w:rPr>
        <w:t xml:space="preserve"> 10 MMB</w:t>
      </w:r>
      <w:r w:rsidR="007E1D74">
        <w:rPr>
          <w:b w:val="0"/>
          <w:bCs w:val="0"/>
        </w:rPr>
        <w:t>TU</w:t>
      </w:r>
      <w:r>
        <w:rPr>
          <w:b w:val="0"/>
          <w:bCs w:val="0"/>
        </w:rPr>
        <w:t>/</w:t>
      </w:r>
      <w:r w:rsidR="007E1D74">
        <w:rPr>
          <w:b w:val="0"/>
          <w:bCs w:val="0"/>
        </w:rPr>
        <w:t xml:space="preserve"> </w:t>
      </w:r>
      <w:r>
        <w:rPr>
          <w:b w:val="0"/>
          <w:bCs w:val="0"/>
        </w:rPr>
        <w:t>h</w:t>
      </w:r>
      <w:r w:rsidR="007E1D74">
        <w:rPr>
          <w:b w:val="0"/>
          <w:bCs w:val="0"/>
        </w:rPr>
        <w:t>ou</w:t>
      </w:r>
      <w:r>
        <w:rPr>
          <w:b w:val="0"/>
          <w:bCs w:val="0"/>
        </w:rPr>
        <w:t>r</w:t>
      </w:r>
      <w:r w:rsidR="007E1D74">
        <w:rPr>
          <w:b w:val="0"/>
          <w:bCs w:val="0"/>
        </w:rPr>
        <w:t xml:space="preserve"> that were </w:t>
      </w:r>
      <w:r w:rsidR="007E1D74" w:rsidRPr="007E1D74">
        <w:rPr>
          <w:b w:val="0"/>
          <w:bCs w:val="0"/>
        </w:rPr>
        <w:t>constructed after June 9, 1989</w:t>
      </w:r>
      <w:r>
        <w:rPr>
          <w:b w:val="0"/>
          <w:bCs w:val="0"/>
        </w:rPr>
        <w:t xml:space="preserve">. </w:t>
      </w:r>
      <w:r w:rsidR="00EF1319" w:rsidRPr="00162821">
        <w:rPr>
          <w:b w:val="0"/>
          <w:bCs w:val="0"/>
        </w:rPr>
        <w:t xml:space="preserve">Emission Points </w:t>
      </w:r>
      <w:r w:rsidR="00F928F5">
        <w:rPr>
          <w:b w:val="0"/>
          <w:bCs w:val="0"/>
        </w:rPr>
        <w:t xml:space="preserve">AA-007a, AA-007b, AA-038, AA-039, </w:t>
      </w:r>
      <w:r w:rsidR="00EF1319" w:rsidRPr="00162821">
        <w:rPr>
          <w:rFonts w:ascii="TimesNewRoman" w:hAnsi="TimesNewRoman" w:cs="TimesNewRoman"/>
          <w:b w:val="0"/>
          <w:bCs w:val="0"/>
        </w:rPr>
        <w:t xml:space="preserve">AA-045, AA-046 and AA-047 </w:t>
      </w:r>
      <w:r w:rsidR="00EF1319" w:rsidRPr="00162821">
        <w:rPr>
          <w:b w:val="0"/>
          <w:bCs w:val="0"/>
        </w:rPr>
        <w:t>are boilers</w:t>
      </w:r>
      <w:r>
        <w:rPr>
          <w:b w:val="0"/>
          <w:bCs w:val="0"/>
        </w:rPr>
        <w:t xml:space="preserve"> and water heaters</w:t>
      </w:r>
      <w:r w:rsidR="007E1D74">
        <w:rPr>
          <w:b w:val="0"/>
          <w:bCs w:val="0"/>
        </w:rPr>
        <w:t xml:space="preserve">, constructed after the applicability date, </w:t>
      </w:r>
      <w:r>
        <w:rPr>
          <w:b w:val="0"/>
          <w:bCs w:val="0"/>
        </w:rPr>
        <w:t>which classify as steam generating units. However, each unit has a</w:t>
      </w:r>
      <w:r w:rsidR="00EF1319" w:rsidRPr="00162821">
        <w:rPr>
          <w:b w:val="0"/>
          <w:bCs w:val="0"/>
        </w:rPr>
        <w:t xml:space="preserve"> rated </w:t>
      </w:r>
      <w:r>
        <w:rPr>
          <w:b w:val="0"/>
          <w:bCs w:val="0"/>
        </w:rPr>
        <w:t>capacity less than 10 MMBTU/</w:t>
      </w:r>
      <w:r w:rsidR="0056067A">
        <w:rPr>
          <w:b w:val="0"/>
          <w:bCs w:val="0"/>
        </w:rPr>
        <w:t xml:space="preserve"> </w:t>
      </w:r>
      <w:r>
        <w:rPr>
          <w:b w:val="0"/>
          <w:bCs w:val="0"/>
        </w:rPr>
        <w:t>h</w:t>
      </w:r>
      <w:r w:rsidR="0056067A">
        <w:rPr>
          <w:b w:val="0"/>
          <w:bCs w:val="0"/>
        </w:rPr>
        <w:t>ou</w:t>
      </w:r>
      <w:r>
        <w:rPr>
          <w:b w:val="0"/>
          <w:bCs w:val="0"/>
        </w:rPr>
        <w:t>r; t</w:t>
      </w:r>
      <w:r w:rsidR="00EF1319" w:rsidRPr="00162821">
        <w:rPr>
          <w:b w:val="0"/>
          <w:bCs w:val="0"/>
        </w:rPr>
        <w:t xml:space="preserve">herefore, </w:t>
      </w:r>
      <w:r>
        <w:rPr>
          <w:b w:val="0"/>
          <w:bCs w:val="0"/>
        </w:rPr>
        <w:t>this subpart</w:t>
      </w:r>
      <w:r w:rsidRPr="00764582">
        <w:rPr>
          <w:b w:val="0"/>
          <w:bCs w:val="0"/>
        </w:rPr>
        <w:t xml:space="preserve"> </w:t>
      </w:r>
      <w:r w:rsidRPr="00AB7963">
        <w:rPr>
          <w:b w:val="0"/>
          <w:bCs w:val="0"/>
          <w:u w:val="single"/>
        </w:rPr>
        <w:t>is not applicable</w:t>
      </w:r>
      <w:r>
        <w:rPr>
          <w:b w:val="0"/>
          <w:bCs w:val="0"/>
        </w:rPr>
        <w:t>.</w:t>
      </w:r>
    </w:p>
    <w:p w14:paraId="4E8F59AE" w14:textId="77777777" w:rsidR="00EF1319" w:rsidRDefault="00EF1319" w:rsidP="008C2CA1">
      <w:pPr>
        <w:pStyle w:val="Title"/>
        <w:jc w:val="both"/>
        <w:rPr>
          <w:b w:val="0"/>
          <w:bCs w:val="0"/>
        </w:rPr>
      </w:pPr>
    </w:p>
    <w:p w14:paraId="6C7042B9" w14:textId="77777777" w:rsidR="00EF1319" w:rsidRDefault="00EF1319" w:rsidP="008C2CA1">
      <w:pPr>
        <w:pStyle w:val="Title"/>
        <w:jc w:val="both"/>
        <w:rPr>
          <w:b w:val="0"/>
          <w:bCs w:val="0"/>
        </w:rPr>
      </w:pPr>
      <w:r w:rsidRPr="00852F6B">
        <w:rPr>
          <w:bCs w:val="0"/>
        </w:rPr>
        <w:t>40 CFR 60, Subpart IIII – Standards of Performance for Stationary Compression Ignition Internal Combustion Engines</w:t>
      </w:r>
      <w:r>
        <w:rPr>
          <w:b w:val="0"/>
          <w:bCs w:val="0"/>
        </w:rPr>
        <w:t xml:space="preserve"> </w:t>
      </w:r>
    </w:p>
    <w:p w14:paraId="29BC9D3B" w14:textId="77777777" w:rsidR="00EF1319" w:rsidRDefault="007E1D74" w:rsidP="008C2CA1">
      <w:pPr>
        <w:pStyle w:val="Title"/>
        <w:jc w:val="both"/>
        <w:rPr>
          <w:b w:val="0"/>
          <w:bCs w:val="0"/>
        </w:rPr>
      </w:pPr>
      <w:r>
        <w:rPr>
          <w:b w:val="0"/>
          <w:bCs w:val="0"/>
        </w:rPr>
        <w:t xml:space="preserve">Emission Points </w:t>
      </w:r>
      <w:r w:rsidR="00035456">
        <w:rPr>
          <w:b w:val="0"/>
          <w:bCs w:val="0"/>
        </w:rPr>
        <w:t>AA-015 and AA-048</w:t>
      </w:r>
      <w:r w:rsidR="00704737">
        <w:rPr>
          <w:b w:val="0"/>
          <w:bCs w:val="0"/>
        </w:rPr>
        <w:t xml:space="preserve"> are </w:t>
      </w:r>
      <w:r w:rsidR="00704737" w:rsidRPr="005C565E">
        <w:rPr>
          <w:b w:val="0"/>
          <w:bCs w:val="0"/>
        </w:rPr>
        <w:t>certified National Fire Protection Association (NFPA) fire pump engine</w:t>
      </w:r>
      <w:r w:rsidR="00704737">
        <w:rPr>
          <w:b w:val="0"/>
          <w:bCs w:val="0"/>
        </w:rPr>
        <w:t>s</w:t>
      </w:r>
      <w:r w:rsidR="00704737" w:rsidRPr="005C565E">
        <w:rPr>
          <w:b w:val="0"/>
          <w:bCs w:val="0"/>
        </w:rPr>
        <w:t xml:space="preserve"> </w:t>
      </w:r>
      <w:r w:rsidR="00704737">
        <w:rPr>
          <w:b w:val="0"/>
          <w:bCs w:val="0"/>
        </w:rPr>
        <w:t xml:space="preserve">that were manufactured after July 1, 2006.  </w:t>
      </w:r>
      <w:r w:rsidR="00035456">
        <w:rPr>
          <w:b w:val="0"/>
          <w:bCs w:val="0"/>
        </w:rPr>
        <w:t xml:space="preserve">Emission Points AA-011 and AA-012 are </w:t>
      </w:r>
      <w:r w:rsidR="00F4300D">
        <w:rPr>
          <w:b w:val="0"/>
          <w:bCs w:val="0"/>
        </w:rPr>
        <w:t>e</w:t>
      </w:r>
      <w:r w:rsidR="00035456">
        <w:rPr>
          <w:b w:val="0"/>
          <w:bCs w:val="0"/>
        </w:rPr>
        <w:t xml:space="preserve">mergency </w:t>
      </w:r>
      <w:r w:rsidR="00F4300D">
        <w:rPr>
          <w:b w:val="0"/>
          <w:bCs w:val="0"/>
        </w:rPr>
        <w:t>compression-i</w:t>
      </w:r>
      <w:r w:rsidR="00035456">
        <w:rPr>
          <w:b w:val="0"/>
          <w:bCs w:val="0"/>
        </w:rPr>
        <w:t xml:space="preserve">gnition </w:t>
      </w:r>
      <w:r>
        <w:rPr>
          <w:b w:val="0"/>
          <w:bCs w:val="0"/>
        </w:rPr>
        <w:t xml:space="preserve">(CI) </w:t>
      </w:r>
      <w:r w:rsidR="00F4300D">
        <w:rPr>
          <w:b w:val="0"/>
          <w:bCs w:val="0"/>
        </w:rPr>
        <w:t>g</w:t>
      </w:r>
      <w:r w:rsidR="00035456">
        <w:rPr>
          <w:b w:val="0"/>
          <w:bCs w:val="0"/>
        </w:rPr>
        <w:t xml:space="preserve">enerator </w:t>
      </w:r>
      <w:r w:rsidR="00F4300D">
        <w:rPr>
          <w:b w:val="0"/>
          <w:bCs w:val="0"/>
        </w:rPr>
        <w:t>e</w:t>
      </w:r>
      <w:r w:rsidR="00035456">
        <w:rPr>
          <w:b w:val="0"/>
          <w:bCs w:val="0"/>
        </w:rPr>
        <w:t xml:space="preserve">ngines that were manufactured after </w:t>
      </w:r>
      <w:r w:rsidR="00BF126C">
        <w:rPr>
          <w:b w:val="0"/>
          <w:bCs w:val="0"/>
        </w:rPr>
        <w:t>April</w:t>
      </w:r>
      <w:r w:rsidR="00035456">
        <w:rPr>
          <w:b w:val="0"/>
          <w:bCs w:val="0"/>
        </w:rPr>
        <w:t xml:space="preserve"> 1, 2006. </w:t>
      </w:r>
      <w:r w:rsidR="00F4300D">
        <w:rPr>
          <w:b w:val="0"/>
          <w:bCs w:val="0"/>
        </w:rPr>
        <w:t xml:space="preserve"> </w:t>
      </w:r>
      <w:r w:rsidR="00035456">
        <w:rPr>
          <w:b w:val="0"/>
          <w:bCs w:val="0"/>
        </w:rPr>
        <w:t>Therefore</w:t>
      </w:r>
      <w:r w:rsidR="00F4300D">
        <w:rPr>
          <w:b w:val="0"/>
          <w:bCs w:val="0"/>
        </w:rPr>
        <w:t>,</w:t>
      </w:r>
      <w:r w:rsidR="00035456">
        <w:rPr>
          <w:b w:val="0"/>
          <w:bCs w:val="0"/>
        </w:rPr>
        <w:t xml:space="preserve"> these units are </w:t>
      </w:r>
      <w:r w:rsidR="00EF1319">
        <w:rPr>
          <w:b w:val="0"/>
          <w:bCs w:val="0"/>
        </w:rPr>
        <w:t xml:space="preserve">subject to the requirements of this subpart </w:t>
      </w:r>
      <w:r w:rsidR="00EF1319" w:rsidRPr="0056067A">
        <w:rPr>
          <w:b w:val="0"/>
          <w:bCs w:val="0"/>
        </w:rPr>
        <w:t xml:space="preserve">and </w:t>
      </w:r>
      <w:r w:rsidR="00746797">
        <w:rPr>
          <w:b w:val="0"/>
          <w:bCs w:val="0"/>
        </w:rPr>
        <w:t xml:space="preserve">the </w:t>
      </w:r>
      <w:r w:rsidR="00EF1319" w:rsidRPr="0056067A">
        <w:rPr>
          <w:b w:val="0"/>
          <w:bCs w:val="0"/>
        </w:rPr>
        <w:t xml:space="preserve">applicable requirements </w:t>
      </w:r>
      <w:r w:rsidR="0056067A">
        <w:rPr>
          <w:b w:val="0"/>
          <w:bCs w:val="0"/>
        </w:rPr>
        <w:t>are</w:t>
      </w:r>
      <w:r w:rsidR="00EF1319" w:rsidRPr="0056067A">
        <w:rPr>
          <w:b w:val="0"/>
          <w:bCs w:val="0"/>
        </w:rPr>
        <w:t xml:space="preserve"> included in the permit.</w:t>
      </w:r>
    </w:p>
    <w:p w14:paraId="43E8BB2C" w14:textId="77777777" w:rsidR="001D7E96" w:rsidRDefault="001D7E96" w:rsidP="008C2CA1">
      <w:pPr>
        <w:pStyle w:val="Title"/>
        <w:jc w:val="both"/>
        <w:rPr>
          <w:b w:val="0"/>
          <w:bCs w:val="0"/>
        </w:rPr>
      </w:pPr>
    </w:p>
    <w:p w14:paraId="52615F8C" w14:textId="77777777" w:rsidR="001D7E96" w:rsidRDefault="001D7E96" w:rsidP="008C2CA1">
      <w:pPr>
        <w:pStyle w:val="Title"/>
        <w:jc w:val="both"/>
        <w:rPr>
          <w:u w:val="single"/>
        </w:rPr>
      </w:pPr>
      <w:r>
        <w:rPr>
          <w:u w:val="single"/>
        </w:rPr>
        <w:t>MACT APPLICABILITY</w:t>
      </w:r>
    </w:p>
    <w:p w14:paraId="7C9B7285" w14:textId="77777777" w:rsidR="001D7E96" w:rsidRDefault="001D7E96" w:rsidP="008C2CA1">
      <w:pPr>
        <w:pStyle w:val="Title"/>
        <w:jc w:val="both"/>
        <w:rPr>
          <w:u w:val="single"/>
        </w:rPr>
      </w:pPr>
    </w:p>
    <w:p w14:paraId="72855166" w14:textId="77777777" w:rsidR="00EF1319" w:rsidRDefault="00EF1319" w:rsidP="008C2CA1">
      <w:pPr>
        <w:pStyle w:val="Title"/>
        <w:jc w:val="both"/>
        <w:rPr>
          <w:b w:val="0"/>
          <w:bCs w:val="0"/>
        </w:rPr>
      </w:pPr>
      <w:r w:rsidRPr="00852F6B">
        <w:rPr>
          <w:bCs w:val="0"/>
        </w:rPr>
        <w:t xml:space="preserve">40 CFR 63, Subpart ZZZZ – National Emission Standards for Hazardous Air Pollutants for Reciprocating Internal Combustion </w:t>
      </w:r>
      <w:r w:rsidRPr="00BF126C">
        <w:rPr>
          <w:bCs w:val="0"/>
        </w:rPr>
        <w:t xml:space="preserve">Engines </w:t>
      </w:r>
      <w:r w:rsidR="00BF126C" w:rsidRPr="00BF126C">
        <w:rPr>
          <w:bCs w:val="0"/>
        </w:rPr>
        <w:t>(RICE)</w:t>
      </w:r>
    </w:p>
    <w:p w14:paraId="7F90A445" w14:textId="77777777" w:rsidR="00BF126C" w:rsidRDefault="00F928F5" w:rsidP="008C2CA1">
      <w:pPr>
        <w:pStyle w:val="Title"/>
        <w:jc w:val="both"/>
        <w:rPr>
          <w:b w:val="0"/>
          <w:bCs w:val="0"/>
        </w:rPr>
      </w:pPr>
      <w:r w:rsidRPr="00BF126C">
        <w:rPr>
          <w:b w:val="0"/>
          <w:bCs w:val="0"/>
        </w:rPr>
        <w:t>Emission Points AA-011, AA-012, AA-015</w:t>
      </w:r>
      <w:r w:rsidR="004D3D1A">
        <w:rPr>
          <w:b w:val="0"/>
          <w:bCs w:val="0"/>
        </w:rPr>
        <w:t>,</w:t>
      </w:r>
      <w:r w:rsidRPr="00BF126C">
        <w:rPr>
          <w:b w:val="0"/>
          <w:bCs w:val="0"/>
        </w:rPr>
        <w:t xml:space="preserve"> and</w:t>
      </w:r>
      <w:r>
        <w:rPr>
          <w:b w:val="0"/>
          <w:bCs w:val="0"/>
        </w:rPr>
        <w:t xml:space="preserve"> </w:t>
      </w:r>
      <w:r w:rsidR="00BF126C">
        <w:rPr>
          <w:b w:val="0"/>
          <w:bCs w:val="0"/>
        </w:rPr>
        <w:t xml:space="preserve">AA-048 </w:t>
      </w:r>
      <w:r w:rsidR="00BF126C" w:rsidRPr="00BF126C">
        <w:rPr>
          <w:b w:val="0"/>
          <w:bCs w:val="0"/>
        </w:rPr>
        <w:t>are “new” stationary RICE (i.e. constructed after June 12, 2006) that are located at an area source of HAPs.  As such, these units are required to comply with the New Source Performance Standards Subpart IIII to demonstrate compliance with Subpart ZZZZ.  No other requirements under Subpart ZZZZ are applicable for these engines.</w:t>
      </w:r>
      <w:r w:rsidR="00BF126C">
        <w:rPr>
          <w:b w:val="0"/>
          <w:bCs w:val="0"/>
        </w:rPr>
        <w:t xml:space="preserve"> </w:t>
      </w:r>
    </w:p>
    <w:p w14:paraId="6AFAF2C2" w14:textId="77777777" w:rsidR="004D3D1A" w:rsidRDefault="004D3D1A" w:rsidP="008C2CA1">
      <w:pPr>
        <w:pStyle w:val="Title"/>
        <w:jc w:val="both"/>
        <w:rPr>
          <w:b w:val="0"/>
          <w:bCs w:val="0"/>
        </w:rPr>
      </w:pPr>
    </w:p>
    <w:p w14:paraId="383FFAE2" w14:textId="47885640" w:rsidR="00F928F5" w:rsidRDefault="00F928F5" w:rsidP="008C2CA1">
      <w:pPr>
        <w:pStyle w:val="Title"/>
        <w:jc w:val="both"/>
        <w:rPr>
          <w:b w:val="0"/>
          <w:bCs w:val="0"/>
        </w:rPr>
      </w:pPr>
      <w:r>
        <w:rPr>
          <w:b w:val="0"/>
          <w:bCs w:val="0"/>
        </w:rPr>
        <w:t>Emission Point AA-013 is an existing institutional emergency stationary RICE located at an area source of HAP</w:t>
      </w:r>
      <w:r w:rsidR="004D3D1A">
        <w:rPr>
          <w:b w:val="0"/>
          <w:bCs w:val="0"/>
        </w:rPr>
        <w:t>s</w:t>
      </w:r>
      <w:r>
        <w:rPr>
          <w:b w:val="0"/>
          <w:bCs w:val="0"/>
        </w:rPr>
        <w:t xml:space="preserve"> </w:t>
      </w:r>
      <w:r w:rsidR="004D3D1A">
        <w:rPr>
          <w:b w:val="0"/>
          <w:bCs w:val="0"/>
        </w:rPr>
        <w:t>;</w:t>
      </w:r>
      <w:r>
        <w:rPr>
          <w:b w:val="0"/>
          <w:bCs w:val="0"/>
        </w:rPr>
        <w:t xml:space="preserve"> therefore</w:t>
      </w:r>
      <w:r w:rsidR="004D3D1A">
        <w:rPr>
          <w:b w:val="0"/>
          <w:bCs w:val="0"/>
        </w:rPr>
        <w:t>, this engine is</w:t>
      </w:r>
      <w:r>
        <w:rPr>
          <w:b w:val="0"/>
          <w:bCs w:val="0"/>
        </w:rPr>
        <w:t xml:space="preserve"> not subject to </w:t>
      </w:r>
      <w:r w:rsidR="004D3D1A">
        <w:rPr>
          <w:b w:val="0"/>
          <w:bCs w:val="0"/>
        </w:rPr>
        <w:t xml:space="preserve">the requirements within this subpart </w:t>
      </w:r>
      <w:r w:rsidR="00F4300D">
        <w:rPr>
          <w:b w:val="0"/>
          <w:bCs w:val="0"/>
        </w:rPr>
        <w:t>[</w:t>
      </w:r>
      <w:r>
        <w:rPr>
          <w:b w:val="0"/>
          <w:bCs w:val="0"/>
        </w:rPr>
        <w:t>per 40 CFRR 63.6590(f)(3)</w:t>
      </w:r>
      <w:r w:rsidR="00F4300D">
        <w:rPr>
          <w:b w:val="0"/>
          <w:bCs w:val="0"/>
        </w:rPr>
        <w:t>] contingent upon maintaining its status as an “emergency engine”.</w:t>
      </w:r>
    </w:p>
    <w:p w14:paraId="09887411" w14:textId="77777777" w:rsidR="004D3D1A" w:rsidRDefault="004D3D1A" w:rsidP="008C2CA1">
      <w:pPr>
        <w:pStyle w:val="Title"/>
        <w:jc w:val="both"/>
        <w:rPr>
          <w:b w:val="0"/>
          <w:bCs w:val="0"/>
        </w:rPr>
      </w:pPr>
    </w:p>
    <w:p w14:paraId="52D959FC" w14:textId="77777777" w:rsidR="00F928F5" w:rsidRDefault="00F928F5" w:rsidP="008C2CA1">
      <w:pPr>
        <w:pStyle w:val="Title"/>
        <w:jc w:val="both"/>
        <w:rPr>
          <w:b w:val="0"/>
          <w:bCs w:val="0"/>
        </w:rPr>
      </w:pPr>
      <w:r>
        <w:rPr>
          <w:b w:val="0"/>
          <w:bCs w:val="0"/>
        </w:rPr>
        <w:t>Emission Point</w:t>
      </w:r>
      <w:r w:rsidR="00BF126C">
        <w:rPr>
          <w:b w:val="0"/>
          <w:bCs w:val="0"/>
        </w:rPr>
        <w:t>s</w:t>
      </w:r>
      <w:r>
        <w:rPr>
          <w:b w:val="0"/>
          <w:bCs w:val="0"/>
        </w:rPr>
        <w:t xml:space="preserve"> AA-009 and AA-010 are subject to the requirements </w:t>
      </w:r>
      <w:r w:rsidR="004400AF">
        <w:rPr>
          <w:b w:val="0"/>
          <w:bCs w:val="0"/>
        </w:rPr>
        <w:t xml:space="preserve">of this subpart </w:t>
      </w:r>
      <w:r>
        <w:rPr>
          <w:b w:val="0"/>
          <w:bCs w:val="0"/>
        </w:rPr>
        <w:t>for</w:t>
      </w:r>
      <w:r w:rsidR="00BF126C">
        <w:rPr>
          <w:b w:val="0"/>
          <w:bCs w:val="0"/>
        </w:rPr>
        <w:t xml:space="preserve"> existing</w:t>
      </w:r>
      <w:r w:rsidR="004400AF">
        <w:rPr>
          <w:b w:val="0"/>
          <w:bCs w:val="0"/>
        </w:rPr>
        <w:t xml:space="preserve"> non-emergency engines.</w:t>
      </w:r>
    </w:p>
    <w:p w14:paraId="775E0005" w14:textId="77777777" w:rsidR="00EF1319" w:rsidRPr="006D7649" w:rsidRDefault="00EF1319" w:rsidP="008C2CA1">
      <w:pPr>
        <w:pStyle w:val="Title"/>
        <w:jc w:val="both"/>
        <w:rPr>
          <w:b w:val="0"/>
          <w:bCs w:val="0"/>
        </w:rPr>
      </w:pPr>
    </w:p>
    <w:p w14:paraId="6C33BA19" w14:textId="77777777" w:rsidR="00EF1319" w:rsidRDefault="00EF1319" w:rsidP="008C2CA1">
      <w:pPr>
        <w:pStyle w:val="Title"/>
        <w:jc w:val="both"/>
        <w:rPr>
          <w:b w:val="0"/>
          <w:bCs w:val="0"/>
        </w:rPr>
      </w:pPr>
      <w:r w:rsidRPr="00852F6B">
        <w:rPr>
          <w:bCs w:val="0"/>
        </w:rPr>
        <w:t>40 CFR 63, Subpart JJJJJJ – National Emission Standard for Hazardous Air Pollutants for Industrial, Commercial, and Institutional Boilers at Area Sources</w:t>
      </w:r>
      <w:r>
        <w:rPr>
          <w:b w:val="0"/>
          <w:bCs w:val="0"/>
        </w:rPr>
        <w:t xml:space="preserve"> </w:t>
      </w:r>
    </w:p>
    <w:p w14:paraId="17773BB5" w14:textId="418CC247" w:rsidR="00F928F5" w:rsidRDefault="004400AF" w:rsidP="008C2CA1">
      <w:pPr>
        <w:pStyle w:val="Title"/>
        <w:jc w:val="both"/>
        <w:rPr>
          <w:b w:val="0"/>
          <w:bCs w:val="0"/>
        </w:rPr>
      </w:pPr>
      <w:r>
        <w:rPr>
          <w:b w:val="0"/>
          <w:bCs w:val="0"/>
        </w:rPr>
        <w:t>This subpart is applicable to boilers</w:t>
      </w:r>
      <w:r w:rsidR="004913DE">
        <w:rPr>
          <w:b w:val="0"/>
          <w:bCs w:val="0"/>
        </w:rPr>
        <w:t xml:space="preserve"> (including some water heaters)</w:t>
      </w:r>
      <w:r>
        <w:rPr>
          <w:b w:val="0"/>
          <w:bCs w:val="0"/>
        </w:rPr>
        <w:t xml:space="preserve"> located at an area source of HAPs. </w:t>
      </w:r>
      <w:r w:rsidR="00F4300D">
        <w:rPr>
          <w:b w:val="0"/>
          <w:bCs w:val="0"/>
        </w:rPr>
        <w:t xml:space="preserve"> </w:t>
      </w:r>
      <w:r w:rsidRPr="00162821">
        <w:rPr>
          <w:b w:val="0"/>
          <w:bCs w:val="0"/>
        </w:rPr>
        <w:t xml:space="preserve">Emission Points </w:t>
      </w:r>
      <w:r>
        <w:rPr>
          <w:b w:val="0"/>
          <w:bCs w:val="0"/>
        </w:rPr>
        <w:t xml:space="preserve">AA-007a, AA-007b, AA-038, AA-039, </w:t>
      </w:r>
      <w:r w:rsidRPr="00162821">
        <w:rPr>
          <w:rFonts w:ascii="TimesNewRoman" w:hAnsi="TimesNewRoman" w:cs="TimesNewRoman"/>
          <w:b w:val="0"/>
          <w:bCs w:val="0"/>
        </w:rPr>
        <w:t>AA-045, AA-046 and AA-047</w:t>
      </w:r>
      <w:r w:rsidR="004913DE">
        <w:rPr>
          <w:rFonts w:ascii="TimesNewRoman" w:hAnsi="TimesNewRoman" w:cs="TimesNewRoman"/>
          <w:b w:val="0"/>
          <w:bCs w:val="0"/>
        </w:rPr>
        <w:t xml:space="preserve"> are boilers, as defined in this subpart. </w:t>
      </w:r>
      <w:r w:rsidR="00F4300D">
        <w:rPr>
          <w:rFonts w:ascii="TimesNewRoman" w:hAnsi="TimesNewRoman" w:cs="TimesNewRoman"/>
          <w:b w:val="0"/>
          <w:bCs w:val="0"/>
        </w:rPr>
        <w:t xml:space="preserve"> However, s</w:t>
      </w:r>
      <w:r w:rsidR="004913DE">
        <w:rPr>
          <w:rFonts w:ascii="TimesNewRoman" w:hAnsi="TimesNewRoman" w:cs="TimesNewRoman"/>
          <w:b w:val="0"/>
          <w:bCs w:val="0"/>
        </w:rPr>
        <w:t xml:space="preserve">ince these units </w:t>
      </w:r>
      <w:r w:rsidR="00F4300D">
        <w:rPr>
          <w:rFonts w:ascii="TimesNewRoman" w:hAnsi="TimesNewRoman" w:cs="TimesNewRoman"/>
          <w:b w:val="0"/>
          <w:bCs w:val="0"/>
        </w:rPr>
        <w:t xml:space="preserve">only </w:t>
      </w:r>
      <w:r w:rsidR="004913DE">
        <w:rPr>
          <w:rFonts w:ascii="TimesNewRoman" w:hAnsi="TimesNewRoman" w:cs="TimesNewRoman"/>
          <w:b w:val="0"/>
          <w:bCs w:val="0"/>
        </w:rPr>
        <w:t>burn natural gas, they</w:t>
      </w:r>
      <w:r>
        <w:rPr>
          <w:rFonts w:ascii="TimesNewRoman" w:hAnsi="TimesNewRoman" w:cs="TimesNewRoman"/>
          <w:b w:val="0"/>
          <w:bCs w:val="0"/>
        </w:rPr>
        <w:t xml:space="preserve"> are exempt from the requirements of this subpart per 40 CFR 63.11195</w:t>
      </w:r>
      <w:r w:rsidR="004913DE">
        <w:rPr>
          <w:rFonts w:ascii="TimesNewRoman" w:hAnsi="TimesNewRoman" w:cs="TimesNewRoman"/>
          <w:b w:val="0"/>
          <w:bCs w:val="0"/>
        </w:rPr>
        <w:t>(e).</w:t>
      </w:r>
      <w:r w:rsidR="004913DE">
        <w:rPr>
          <w:b w:val="0"/>
          <w:bCs w:val="0"/>
        </w:rPr>
        <w:t xml:space="preserve"> </w:t>
      </w:r>
      <w:r w:rsidR="00F4300D">
        <w:rPr>
          <w:b w:val="0"/>
          <w:bCs w:val="0"/>
        </w:rPr>
        <w:t xml:space="preserve"> </w:t>
      </w:r>
      <w:r w:rsidR="004913DE">
        <w:rPr>
          <w:b w:val="0"/>
          <w:bCs w:val="0"/>
        </w:rPr>
        <w:t xml:space="preserve">Thus, Subpart JJJJJJ </w:t>
      </w:r>
      <w:r w:rsidR="004913DE" w:rsidRPr="004913DE">
        <w:rPr>
          <w:b w:val="0"/>
          <w:bCs w:val="0"/>
          <w:u w:val="single"/>
        </w:rPr>
        <w:t>is not applicable</w:t>
      </w:r>
      <w:r w:rsidR="004913DE">
        <w:rPr>
          <w:b w:val="0"/>
          <w:bCs w:val="0"/>
        </w:rPr>
        <w:t>.</w:t>
      </w:r>
    </w:p>
    <w:p w14:paraId="543A5483" w14:textId="77777777" w:rsidR="004913DE" w:rsidRDefault="004913DE" w:rsidP="008C2CA1">
      <w:pPr>
        <w:pStyle w:val="Title"/>
        <w:jc w:val="both"/>
        <w:rPr>
          <w:b w:val="0"/>
          <w:bCs w:val="0"/>
        </w:rPr>
      </w:pPr>
    </w:p>
    <w:p w14:paraId="5CC9038C" w14:textId="77777777" w:rsidR="0046421A" w:rsidRPr="0046421A" w:rsidRDefault="0046421A" w:rsidP="008C2CA1">
      <w:pPr>
        <w:pStyle w:val="Heading1"/>
        <w:jc w:val="both"/>
        <w:rPr>
          <w:sz w:val="48"/>
          <w:szCs w:val="48"/>
        </w:rPr>
      </w:pPr>
      <w:r w:rsidRPr="0046421A">
        <w:rPr>
          <w:bCs w:val="0"/>
        </w:rPr>
        <w:lastRenderedPageBreak/>
        <w:t xml:space="preserve">40 CFR Part 63, Subpart WWWWW </w:t>
      </w:r>
      <w:r w:rsidRPr="00852F6B">
        <w:rPr>
          <w:bCs w:val="0"/>
        </w:rPr>
        <w:t xml:space="preserve">– </w:t>
      </w:r>
      <w:r w:rsidRPr="0046421A">
        <w:t xml:space="preserve">National Emission Standards for Hospital Ethylene Oxide Sterilizers </w:t>
      </w:r>
    </w:p>
    <w:p w14:paraId="269A0986" w14:textId="77777777" w:rsidR="00F928F5" w:rsidRDefault="004400AF" w:rsidP="008C2CA1">
      <w:pPr>
        <w:pStyle w:val="Title"/>
        <w:jc w:val="both"/>
        <w:rPr>
          <w:b w:val="0"/>
          <w:bCs w:val="0"/>
        </w:rPr>
      </w:pPr>
      <w:r>
        <w:rPr>
          <w:b w:val="0"/>
          <w:bCs w:val="0"/>
        </w:rPr>
        <w:t xml:space="preserve">For </w:t>
      </w:r>
      <w:r w:rsidR="00F928F5">
        <w:rPr>
          <w:b w:val="0"/>
          <w:bCs w:val="0"/>
        </w:rPr>
        <w:t>Emission Point AA-031</w:t>
      </w:r>
      <w:r>
        <w:rPr>
          <w:b w:val="0"/>
          <w:bCs w:val="0"/>
        </w:rPr>
        <w:t>, the facility</w:t>
      </w:r>
      <w:r w:rsidR="00F928F5">
        <w:rPr>
          <w:b w:val="0"/>
          <w:bCs w:val="0"/>
        </w:rPr>
        <w:t xml:space="preserve"> is subject to </w:t>
      </w:r>
      <w:r w:rsidR="00DE4A5F">
        <w:rPr>
          <w:b w:val="0"/>
          <w:bCs w:val="0"/>
        </w:rPr>
        <w:t xml:space="preserve">the requirements of this subpart and </w:t>
      </w:r>
      <w:r>
        <w:rPr>
          <w:b w:val="0"/>
          <w:bCs w:val="0"/>
        </w:rPr>
        <w:t xml:space="preserve">it </w:t>
      </w:r>
      <w:r w:rsidR="00DE4A5F">
        <w:rPr>
          <w:b w:val="0"/>
          <w:bCs w:val="0"/>
        </w:rPr>
        <w:t>is required to sterilize full loads of items having a common aeration time, except under medically necessary circumstances.</w:t>
      </w:r>
    </w:p>
    <w:p w14:paraId="7E6C1039" w14:textId="77777777" w:rsidR="00DE4A5F" w:rsidRDefault="00DE4A5F" w:rsidP="008C2CA1">
      <w:pPr>
        <w:pStyle w:val="Title"/>
        <w:jc w:val="both"/>
        <w:rPr>
          <w:b w:val="0"/>
          <w:bCs w:val="0"/>
        </w:rPr>
      </w:pPr>
    </w:p>
    <w:p w14:paraId="12B763E7" w14:textId="77777777" w:rsidR="00DE4A5F" w:rsidRPr="0046421A" w:rsidRDefault="00DE4A5F" w:rsidP="008C2CA1">
      <w:pPr>
        <w:pStyle w:val="Title"/>
        <w:jc w:val="both"/>
        <w:rPr>
          <w:bCs w:val="0"/>
        </w:rPr>
      </w:pPr>
      <w:r w:rsidRPr="0046421A">
        <w:rPr>
          <w:bCs w:val="0"/>
        </w:rPr>
        <w:t xml:space="preserve">40 CFR Part 63, Subpart CCCCCC – </w:t>
      </w:r>
      <w:r w:rsidR="00044DB9" w:rsidRPr="0046421A">
        <w:rPr>
          <w:bCs w:val="0"/>
        </w:rPr>
        <w:t>National Emission Standards for Hazardous Air Pollutants for Source Category: Gasoline Dispensing Facilities</w:t>
      </w:r>
    </w:p>
    <w:p w14:paraId="20805EE0" w14:textId="11E55D69" w:rsidR="00DE4A5F" w:rsidRDefault="004400AF" w:rsidP="008C2CA1">
      <w:pPr>
        <w:pStyle w:val="Title"/>
        <w:jc w:val="both"/>
        <w:rPr>
          <w:b w:val="0"/>
          <w:bCs w:val="0"/>
        </w:rPr>
      </w:pPr>
      <w:r>
        <w:rPr>
          <w:b w:val="0"/>
          <w:bCs w:val="0"/>
        </w:rPr>
        <w:t>For Emission Point</w:t>
      </w:r>
      <w:r w:rsidR="004D3D1A">
        <w:rPr>
          <w:b w:val="0"/>
          <w:bCs w:val="0"/>
        </w:rPr>
        <w:t>s AA-027 and</w:t>
      </w:r>
      <w:r>
        <w:rPr>
          <w:b w:val="0"/>
          <w:bCs w:val="0"/>
        </w:rPr>
        <w:t xml:space="preserve"> AA-033, the facility </w:t>
      </w:r>
      <w:r w:rsidR="00DE4A5F">
        <w:rPr>
          <w:b w:val="0"/>
          <w:bCs w:val="0"/>
        </w:rPr>
        <w:t xml:space="preserve">shall comply with the requirements for facilities with a </w:t>
      </w:r>
      <w:r>
        <w:rPr>
          <w:b w:val="0"/>
          <w:bCs w:val="0"/>
        </w:rPr>
        <w:t xml:space="preserve">gasoline </w:t>
      </w:r>
      <w:r w:rsidR="00DE4A5F">
        <w:rPr>
          <w:b w:val="0"/>
          <w:bCs w:val="0"/>
        </w:rPr>
        <w:t xml:space="preserve">throughput of less than 10,000 gallons per month. </w:t>
      </w:r>
      <w:r w:rsidR="004D3D1A">
        <w:rPr>
          <w:b w:val="0"/>
          <w:bCs w:val="0"/>
        </w:rPr>
        <w:t xml:space="preserve"> </w:t>
      </w:r>
      <w:r w:rsidR="002325E4">
        <w:rPr>
          <w:b w:val="0"/>
          <w:bCs w:val="0"/>
        </w:rPr>
        <w:t xml:space="preserve">The facility </w:t>
      </w:r>
      <w:r w:rsidR="004D3D1A">
        <w:rPr>
          <w:b w:val="0"/>
          <w:bCs w:val="0"/>
        </w:rPr>
        <w:t xml:space="preserve">must </w:t>
      </w:r>
      <w:r w:rsidR="002325E4">
        <w:rPr>
          <w:b w:val="0"/>
          <w:bCs w:val="0"/>
        </w:rPr>
        <w:t>maintain records o</w:t>
      </w:r>
      <w:r w:rsidR="004D3D1A">
        <w:rPr>
          <w:b w:val="0"/>
          <w:bCs w:val="0"/>
        </w:rPr>
        <w:t>n</w:t>
      </w:r>
      <w:r w:rsidR="002325E4">
        <w:rPr>
          <w:b w:val="0"/>
          <w:bCs w:val="0"/>
        </w:rPr>
        <w:t xml:space="preserve"> the monthly gasoline throughput and malfunctions.</w:t>
      </w:r>
    </w:p>
    <w:p w14:paraId="77C47590" w14:textId="77777777" w:rsidR="00EF1319" w:rsidRDefault="00EF1319" w:rsidP="008C2CA1">
      <w:pPr>
        <w:spacing w:line="240" w:lineRule="atLeast"/>
        <w:jc w:val="both"/>
        <w:rPr>
          <w:rFonts w:ascii="Tms Rmn" w:hAnsi="Tms Rmn" w:cs="Tms Rmn"/>
          <w:b/>
          <w:bCs/>
          <w:color w:val="000000"/>
          <w:u w:val="single"/>
        </w:rPr>
      </w:pPr>
    </w:p>
    <w:p w14:paraId="46DF0C60" w14:textId="77777777" w:rsidR="00AE785C" w:rsidRPr="00644BE3" w:rsidRDefault="00AE785C" w:rsidP="008C2CA1">
      <w:pPr>
        <w:spacing w:line="240" w:lineRule="atLeast"/>
        <w:jc w:val="both"/>
        <w:rPr>
          <w:rFonts w:ascii="Tms Rmn" w:hAnsi="Tms Rmn" w:cs="Tms Rmn"/>
          <w:b/>
          <w:bCs/>
          <w:color w:val="000000"/>
          <w:u w:val="single"/>
        </w:rPr>
      </w:pPr>
      <w:r w:rsidRPr="00644BE3">
        <w:rPr>
          <w:rFonts w:ascii="Tms Rmn" w:hAnsi="Tms Rmn" w:cs="Tms Rmn"/>
          <w:b/>
          <w:bCs/>
          <w:color w:val="000000"/>
          <w:u w:val="single"/>
        </w:rPr>
        <w:t>PUBLIC PARTICIPATION</w:t>
      </w:r>
    </w:p>
    <w:p w14:paraId="75EA8A7A" w14:textId="6FA08585" w:rsidR="00AE785C" w:rsidRDefault="00AE785C" w:rsidP="008C2CA1">
      <w:pPr>
        <w:pStyle w:val="BodyText2"/>
      </w:pPr>
      <w:r w:rsidRPr="00644BE3">
        <w:t xml:space="preserve">The 30-day public notice period began on </w:t>
      </w:r>
      <w:r w:rsidR="00644BE3" w:rsidRPr="00644BE3">
        <w:t>January 14, 2022</w:t>
      </w:r>
      <w:r w:rsidRPr="00644BE3">
        <w:t xml:space="preserve">, with the publication of a notice in the </w:t>
      </w:r>
      <w:r w:rsidR="00644BE3" w:rsidRPr="00644BE3">
        <w:t>Sun Herald</w:t>
      </w:r>
      <w:r w:rsidRPr="00644BE3">
        <w:t xml:space="preserve"> and ends </w:t>
      </w:r>
      <w:r w:rsidR="00644BE3" w:rsidRPr="00644BE3">
        <w:t>February 14, 2022</w:t>
      </w:r>
      <w:r w:rsidRPr="00644BE3">
        <w:t>.</w:t>
      </w:r>
    </w:p>
    <w:p w14:paraId="41CF4EB9" w14:textId="77777777" w:rsidR="00745139" w:rsidRDefault="00745139" w:rsidP="008C2CA1">
      <w:pPr>
        <w:spacing w:line="240" w:lineRule="atLeast"/>
        <w:jc w:val="both"/>
        <w:rPr>
          <w:rFonts w:ascii="Tms Rmn" w:hAnsi="Tms Rmn" w:cs="Tms Rmn"/>
          <w:b/>
          <w:bCs/>
          <w:color w:val="000000"/>
          <w:u w:val="single"/>
        </w:rPr>
      </w:pPr>
    </w:p>
    <w:p w14:paraId="490BF855" w14:textId="77777777" w:rsidR="00AE785C" w:rsidRDefault="00AE785C" w:rsidP="008C2CA1">
      <w:pPr>
        <w:spacing w:line="240" w:lineRule="atLeast"/>
        <w:jc w:val="both"/>
        <w:rPr>
          <w:rFonts w:ascii="Tms Rmn" w:hAnsi="Tms Rmn" w:cs="Tms Rmn"/>
          <w:b/>
          <w:bCs/>
          <w:color w:val="000000"/>
          <w:u w:val="single"/>
        </w:rPr>
      </w:pPr>
      <w:r>
        <w:rPr>
          <w:rFonts w:ascii="Tms Rmn" w:hAnsi="Tms Rmn" w:cs="Tms Rmn"/>
          <w:b/>
          <w:bCs/>
          <w:color w:val="000000"/>
          <w:u w:val="single"/>
        </w:rPr>
        <w:t>RECOMMENDATION</w:t>
      </w:r>
    </w:p>
    <w:p w14:paraId="6B42A8A5" w14:textId="77777777" w:rsidR="0026446A" w:rsidRDefault="00AE785C" w:rsidP="008C2CA1">
      <w:pPr>
        <w:pStyle w:val="Title"/>
        <w:jc w:val="both"/>
        <w:rPr>
          <w:rFonts w:ascii="Tms Rmn" w:hAnsi="Tms Rmn" w:cs="Tms Rmn"/>
          <w:b w:val="0"/>
          <w:bCs w:val="0"/>
          <w:snapToGrid w:val="0"/>
          <w:color w:val="000000"/>
        </w:rPr>
      </w:pPr>
      <w:r>
        <w:rPr>
          <w:rFonts w:ascii="Tms Rmn" w:hAnsi="Tms Rmn" w:cs="Tms Rmn"/>
          <w:b w:val="0"/>
          <w:bCs w:val="0"/>
          <w:snapToGrid w:val="0"/>
          <w:color w:val="000000"/>
        </w:rPr>
        <w:t>The staff has preliminarily decided to recommend issuance of the permit to the Mississippi Environmental Quality Permit Board as shown in the draft permit.  However, the staff recommendation to the Board will be made only after a thorough consideration of all public comments.</w:t>
      </w:r>
    </w:p>
    <w:p w14:paraId="774CC4FD" w14:textId="77777777" w:rsidR="00AE785C" w:rsidRDefault="00AE785C" w:rsidP="008C2CA1">
      <w:pPr>
        <w:pStyle w:val="Title"/>
        <w:jc w:val="both"/>
        <w:rPr>
          <w:rFonts w:ascii="Tms Rmn" w:hAnsi="Tms Rmn" w:cs="Tms Rmn"/>
          <w:b w:val="0"/>
          <w:bCs w:val="0"/>
          <w:snapToGrid w:val="0"/>
          <w:color w:val="000000"/>
        </w:rPr>
      </w:pPr>
    </w:p>
    <w:sectPr w:rsidR="00AE785C" w:rsidSect="00C21896">
      <w:headerReference w:type="default" r:id="rId8"/>
      <w:footerReference w:type="default" r:id="rId9"/>
      <w:footerReference w:type="first" r:id="rId10"/>
      <w:pgSz w:w="12240" w:h="15840" w:code="1"/>
      <w:pgMar w:top="1296" w:right="1440" w:bottom="129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BC7B7" w14:textId="77777777" w:rsidR="00407C06" w:rsidRDefault="00407C06">
      <w:r>
        <w:separator/>
      </w:r>
    </w:p>
  </w:endnote>
  <w:endnote w:type="continuationSeparator" w:id="0">
    <w:p w14:paraId="1BFDBAF5" w14:textId="77777777" w:rsidR="00407C06" w:rsidRDefault="0040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86E8" w14:textId="77777777" w:rsidR="008029E3" w:rsidRPr="00872750" w:rsidRDefault="008029E3" w:rsidP="0026446A">
    <w:pPr>
      <w:pStyle w:val="Footer"/>
      <w:rPr>
        <w:sz w:val="20"/>
        <w:szCs w:val="20"/>
      </w:rPr>
    </w:pPr>
    <w:r w:rsidRPr="00872750">
      <w:rPr>
        <w:sz w:val="20"/>
        <w:szCs w:val="20"/>
      </w:rPr>
      <w:t>16750 PER20200001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67C5" w14:textId="77777777" w:rsidR="008029E3" w:rsidRPr="00872750" w:rsidRDefault="008029E3">
    <w:pPr>
      <w:pStyle w:val="Footer"/>
      <w:rPr>
        <w:sz w:val="20"/>
        <w:szCs w:val="20"/>
      </w:rPr>
    </w:pPr>
    <w:r w:rsidRPr="00872750">
      <w:rPr>
        <w:sz w:val="20"/>
        <w:szCs w:val="20"/>
      </w:rPr>
      <w:t>16750 PER20200001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928A" w14:textId="77777777" w:rsidR="00407C06" w:rsidRDefault="00407C06">
      <w:r>
        <w:separator/>
      </w:r>
    </w:p>
  </w:footnote>
  <w:footnote w:type="continuationSeparator" w:id="0">
    <w:p w14:paraId="6FFFB43A" w14:textId="77777777" w:rsidR="00407C06" w:rsidRDefault="0040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E792" w14:textId="77777777" w:rsidR="008029E3" w:rsidRDefault="008029E3">
    <w:pPr>
      <w:pStyle w:val="Header"/>
      <w:rPr>
        <w:sz w:val="18"/>
        <w:szCs w:val="18"/>
      </w:rPr>
    </w:pPr>
    <w:r>
      <w:rPr>
        <w:sz w:val="18"/>
        <w:szCs w:val="18"/>
      </w:rPr>
      <w:t>Permit Review Summary</w:t>
    </w:r>
  </w:p>
  <w:p w14:paraId="5402B563" w14:textId="192B919A" w:rsidR="008029E3" w:rsidRDefault="008029E3">
    <w:pPr>
      <w:pStyle w:val="Header"/>
      <w:rPr>
        <w:rStyle w:val="PageNumbe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83008F">
      <w:rPr>
        <w:rStyle w:val="PageNumber"/>
        <w:noProof/>
        <w:sz w:val="18"/>
        <w:szCs w:val="18"/>
      </w:rPr>
      <w:t>2</w:t>
    </w:r>
    <w:r>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B1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D06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55279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3C793ABA"/>
    <w:multiLevelType w:val="hybridMultilevel"/>
    <w:tmpl w:val="740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57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3D3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DF2C37"/>
    <w:multiLevelType w:val="hybridMultilevel"/>
    <w:tmpl w:val="0658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36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2E32C1"/>
    <w:multiLevelType w:val="hybridMultilevel"/>
    <w:tmpl w:val="864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9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522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090F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5"/>
  </w:num>
  <w:num w:numId="4">
    <w:abstractNumId w:val="11"/>
  </w:num>
  <w:num w:numId="5">
    <w:abstractNumId w:val="1"/>
  </w:num>
  <w:num w:numId="6">
    <w:abstractNumId w:val="10"/>
  </w:num>
  <w:num w:numId="7">
    <w:abstractNumId w:val="12"/>
  </w:num>
  <w:num w:numId="8">
    <w:abstractNumId w:val="8"/>
  </w:num>
  <w:num w:numId="9">
    <w:abstractNumId w:val="6"/>
  </w:num>
  <w:num w:numId="10">
    <w:abstractNumId w:val="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5c'5c'5c'5c'5c'5c'5c'5c'5c'5c'5c'5c'5c'5c'5c'5c'0d\'5c'5c'5c'5c'5c'5c'5c'5c'5c'5c'5c'5c'5c'5c'5c'5c'0d\'5c'5c'5c'5c'5c'5c'5c'5c'5c'5c'5c'5c'5c'5c'5c'5c'0d,   "/>
    <w:docVar w:name="FacilityContact" w:val="man"/>
    <w:docVar w:name="Ref" w:val="Permit 1\'5c'5c'5c'5c'5c'5c'5c'5c'5c'5c'5c'5c'5c'5c'5c'5c'0d\'5c'5c'5c'5c'5c'5c'5c'5c'5c'5c'5c'5c'5c'5c'5c'5c'0aPermit 2\'5c'5c'5c'5c'5c'5c'5c'5c'5c'5c'5c'5c'5c'5c'5c'5c'0d\'5c'5c'5c'5c'5c'5c'5c'5c'5c'5c'5c'5c'5c'5c'5c'5c'0a"/>
  </w:docVars>
  <w:rsids>
    <w:rsidRoot w:val="0026446A"/>
    <w:rsid w:val="00023292"/>
    <w:rsid w:val="00031259"/>
    <w:rsid w:val="00032135"/>
    <w:rsid w:val="00035456"/>
    <w:rsid w:val="00044DB9"/>
    <w:rsid w:val="0004503A"/>
    <w:rsid w:val="00055ED3"/>
    <w:rsid w:val="000654E9"/>
    <w:rsid w:val="00065BEE"/>
    <w:rsid w:val="0008528D"/>
    <w:rsid w:val="000C7C1F"/>
    <w:rsid w:val="000E657C"/>
    <w:rsid w:val="00162821"/>
    <w:rsid w:val="00171E4E"/>
    <w:rsid w:val="001D7E96"/>
    <w:rsid w:val="001E2A82"/>
    <w:rsid w:val="001E5C47"/>
    <w:rsid w:val="0021434D"/>
    <w:rsid w:val="002325E4"/>
    <w:rsid w:val="00233312"/>
    <w:rsid w:val="0026446A"/>
    <w:rsid w:val="00275068"/>
    <w:rsid w:val="002F3D57"/>
    <w:rsid w:val="00324876"/>
    <w:rsid w:val="003403A6"/>
    <w:rsid w:val="00343A92"/>
    <w:rsid w:val="00361BC2"/>
    <w:rsid w:val="003657D3"/>
    <w:rsid w:val="00375BF8"/>
    <w:rsid w:val="00396978"/>
    <w:rsid w:val="003B4F53"/>
    <w:rsid w:val="003F4843"/>
    <w:rsid w:val="00407C06"/>
    <w:rsid w:val="00416BEC"/>
    <w:rsid w:val="004400AF"/>
    <w:rsid w:val="0045638D"/>
    <w:rsid w:val="0046421A"/>
    <w:rsid w:val="004913DE"/>
    <w:rsid w:val="004B4630"/>
    <w:rsid w:val="004D3D1A"/>
    <w:rsid w:val="005129F5"/>
    <w:rsid w:val="005248BA"/>
    <w:rsid w:val="00533198"/>
    <w:rsid w:val="0055440C"/>
    <w:rsid w:val="0055558F"/>
    <w:rsid w:val="0056067A"/>
    <w:rsid w:val="00562523"/>
    <w:rsid w:val="00586542"/>
    <w:rsid w:val="005B50D8"/>
    <w:rsid w:val="005C565E"/>
    <w:rsid w:val="005F14A0"/>
    <w:rsid w:val="00622F70"/>
    <w:rsid w:val="00644BE3"/>
    <w:rsid w:val="006561C9"/>
    <w:rsid w:val="00671D57"/>
    <w:rsid w:val="00674247"/>
    <w:rsid w:val="006A1772"/>
    <w:rsid w:val="006B2789"/>
    <w:rsid w:val="006B38D2"/>
    <w:rsid w:val="006C43AB"/>
    <w:rsid w:val="006D7649"/>
    <w:rsid w:val="00704737"/>
    <w:rsid w:val="007333EE"/>
    <w:rsid w:val="007339E5"/>
    <w:rsid w:val="00745139"/>
    <w:rsid w:val="00746797"/>
    <w:rsid w:val="00764582"/>
    <w:rsid w:val="00771954"/>
    <w:rsid w:val="00776C4A"/>
    <w:rsid w:val="007C697D"/>
    <w:rsid w:val="007D1A81"/>
    <w:rsid w:val="007E1D74"/>
    <w:rsid w:val="008029E3"/>
    <w:rsid w:val="008030FD"/>
    <w:rsid w:val="0083008F"/>
    <w:rsid w:val="00852F6B"/>
    <w:rsid w:val="00870F77"/>
    <w:rsid w:val="00872750"/>
    <w:rsid w:val="008C2CA1"/>
    <w:rsid w:val="008C68B5"/>
    <w:rsid w:val="009041BA"/>
    <w:rsid w:val="00914BCC"/>
    <w:rsid w:val="00926593"/>
    <w:rsid w:val="009300AC"/>
    <w:rsid w:val="0093029D"/>
    <w:rsid w:val="009460B5"/>
    <w:rsid w:val="00947404"/>
    <w:rsid w:val="00986DF9"/>
    <w:rsid w:val="00A028B8"/>
    <w:rsid w:val="00A11EAD"/>
    <w:rsid w:val="00A21F1D"/>
    <w:rsid w:val="00A30DC8"/>
    <w:rsid w:val="00A44860"/>
    <w:rsid w:val="00A45CF6"/>
    <w:rsid w:val="00A90E68"/>
    <w:rsid w:val="00AB5062"/>
    <w:rsid w:val="00AB7963"/>
    <w:rsid w:val="00AD17CF"/>
    <w:rsid w:val="00AE785C"/>
    <w:rsid w:val="00AF3C0E"/>
    <w:rsid w:val="00B03B00"/>
    <w:rsid w:val="00B10154"/>
    <w:rsid w:val="00B26556"/>
    <w:rsid w:val="00B3199C"/>
    <w:rsid w:val="00B3604E"/>
    <w:rsid w:val="00B4253C"/>
    <w:rsid w:val="00B42A50"/>
    <w:rsid w:val="00B43E9A"/>
    <w:rsid w:val="00B64B20"/>
    <w:rsid w:val="00BA1DDB"/>
    <w:rsid w:val="00BB6CDF"/>
    <w:rsid w:val="00BF126C"/>
    <w:rsid w:val="00BF79C3"/>
    <w:rsid w:val="00C05BA2"/>
    <w:rsid w:val="00C21896"/>
    <w:rsid w:val="00C87529"/>
    <w:rsid w:val="00CD0132"/>
    <w:rsid w:val="00CE7D7E"/>
    <w:rsid w:val="00D0307E"/>
    <w:rsid w:val="00D25E43"/>
    <w:rsid w:val="00D65C78"/>
    <w:rsid w:val="00D700FA"/>
    <w:rsid w:val="00D84228"/>
    <w:rsid w:val="00DA2731"/>
    <w:rsid w:val="00DE4A5F"/>
    <w:rsid w:val="00E1618E"/>
    <w:rsid w:val="00E369D5"/>
    <w:rsid w:val="00E81BEA"/>
    <w:rsid w:val="00EF1319"/>
    <w:rsid w:val="00EF70FE"/>
    <w:rsid w:val="00F4300D"/>
    <w:rsid w:val="00F53189"/>
    <w:rsid w:val="00F67BC9"/>
    <w:rsid w:val="00F81967"/>
    <w:rsid w:val="00F87B14"/>
    <w:rsid w:val="00F928F5"/>
    <w:rsid w:val="00F9762E"/>
    <w:rsid w:val="00FA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A6DDC"/>
  <w14:defaultImageDpi w14:val="0"/>
  <w15:docId w15:val="{4435E45E-8CD2-4BDD-ADD4-A6F3AFCC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Closing" w:semiHidden="1"/>
    <w:lsdException w:name="Signature" w:semiHidden="1"/>
    <w:lsdException w:name="Default Paragraph Font" w:semiHidden="1"/>
    <w:lsdException w:name="Body Text" w:semiHidden="1"/>
    <w:lsdException w:name="Subtitle" w:uiPriority="11" w:qFormat="1"/>
    <w:lsdException w:name="Salutation" w:semiHidden="1" w:unhideWhenUsed="1"/>
    <w:lsdException w:name="Date" w:semiHidden="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widowControl/>
      <w:jc w:val="center"/>
      <w:outlineLvl w:val="0"/>
    </w:pPr>
    <w:rPr>
      <w:b/>
      <w:bCs/>
    </w:rPr>
  </w:style>
  <w:style w:type="paragraph" w:styleId="Heading2">
    <w:name w:val="heading 2"/>
    <w:basedOn w:val="Normal"/>
    <w:next w:val="Normal"/>
    <w:link w:val="Heading2Char"/>
    <w:uiPriority w:val="99"/>
    <w:qFormat/>
    <w:pPr>
      <w:keepNext/>
      <w:widowControl/>
      <w:jc w:val="center"/>
      <w:outlineLvl w:val="1"/>
    </w:pPr>
    <w:rPr>
      <w:b/>
      <w:bCs/>
      <w:sz w:val="28"/>
      <w:szCs w:val="28"/>
    </w:rPr>
  </w:style>
  <w:style w:type="paragraph" w:styleId="Heading3">
    <w:name w:val="heading 3"/>
    <w:basedOn w:val="Normal"/>
    <w:next w:val="Normal"/>
    <w:link w:val="Heading3Char"/>
    <w:uiPriority w:val="99"/>
    <w:qFormat/>
    <w:pPr>
      <w:keepNext/>
      <w:widowControl/>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ReferenceLine">
    <w:name w:val="Reference Line"/>
    <w:basedOn w:val="BodyText"/>
    <w:uiPriority w:val="99"/>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cs="Times New Roman"/>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CcList">
    <w:name w:val="Cc List"/>
    <w:basedOn w:val="Normal"/>
    <w:uiPriority w:val="99"/>
  </w:style>
  <w:style w:type="paragraph" w:styleId="Date">
    <w:name w:val="Date"/>
    <w:basedOn w:val="Normal"/>
    <w:next w:val="Normal"/>
    <w:link w:val="DateChar"/>
    <w:uiPriority w:val="99"/>
    <w:pPr>
      <w:ind w:left="4320"/>
    </w:pPr>
  </w:style>
  <w:style w:type="character" w:customStyle="1" w:styleId="DateChar">
    <w:name w:val="Date Char"/>
    <w:basedOn w:val="DefaultParagraphFont"/>
    <w:link w:val="Date"/>
    <w:uiPriority w:val="99"/>
    <w:semiHidden/>
    <w:locked/>
    <w:rPr>
      <w:rFonts w:cs="Times New Roman"/>
      <w:sz w:val="24"/>
      <w:szCs w:val="24"/>
    </w:rPr>
  </w:style>
  <w:style w:type="paragraph" w:styleId="BodyText2">
    <w:name w:val="Body Text 2"/>
    <w:basedOn w:val="Normal"/>
    <w:link w:val="BodyText2Char"/>
    <w:uiPriority w:val="99"/>
    <w:pPr>
      <w:spacing w:line="240" w:lineRule="atLeast"/>
      <w:jc w:val="both"/>
    </w:pPr>
    <w:rPr>
      <w:rFonts w:ascii="Tms Rmn" w:hAnsi="Tms Rmn" w:cs="Tms Rmn"/>
      <w:color w:val="000000"/>
    </w:rPr>
  </w:style>
  <w:style w:type="character" w:customStyle="1" w:styleId="BodyText2Char">
    <w:name w:val="Body Text 2 Char"/>
    <w:basedOn w:val="DefaultParagraphFont"/>
    <w:link w:val="BodyText2"/>
    <w:uiPriority w:val="99"/>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pPr>
      <w:widowControl/>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sid w:val="00671D57"/>
    <w:rPr>
      <w:rFonts w:ascii="Segoe UI" w:hAnsi="Segoe UI" w:cs="Segoe UI"/>
      <w:sz w:val="18"/>
      <w:szCs w:val="18"/>
    </w:rPr>
  </w:style>
  <w:style w:type="character" w:customStyle="1" w:styleId="BalloonTextChar">
    <w:name w:val="Balloon Text Char"/>
    <w:basedOn w:val="DefaultParagraphFont"/>
    <w:link w:val="BalloonText"/>
    <w:uiPriority w:val="99"/>
    <w:locked/>
    <w:rsid w:val="00671D57"/>
    <w:rPr>
      <w:rFonts w:ascii="Segoe UI" w:hAnsi="Segoe UI" w:cs="Segoe UI"/>
      <w:sz w:val="18"/>
      <w:szCs w:val="18"/>
    </w:rPr>
  </w:style>
  <w:style w:type="paragraph" w:styleId="ListParagraph">
    <w:name w:val="List Paragraph"/>
    <w:basedOn w:val="Normal"/>
    <w:uiPriority w:val="34"/>
    <w:qFormat/>
    <w:rsid w:val="00A30DC8"/>
    <w:pPr>
      <w:ind w:left="720"/>
      <w:contextualSpacing/>
    </w:pPr>
  </w:style>
  <w:style w:type="paragraph" w:styleId="BodyText3">
    <w:name w:val="Body Text 3"/>
    <w:basedOn w:val="Normal"/>
    <w:link w:val="BodyText3Char"/>
    <w:uiPriority w:val="99"/>
    <w:rsid w:val="00C05BA2"/>
    <w:pPr>
      <w:spacing w:after="120"/>
    </w:pPr>
    <w:rPr>
      <w:sz w:val="16"/>
      <w:szCs w:val="16"/>
    </w:rPr>
  </w:style>
  <w:style w:type="character" w:customStyle="1" w:styleId="BodyText3Char">
    <w:name w:val="Body Text 3 Char"/>
    <w:basedOn w:val="DefaultParagraphFont"/>
    <w:link w:val="BodyText3"/>
    <w:uiPriority w:val="99"/>
    <w:locked/>
    <w:rsid w:val="00C05BA2"/>
    <w:rPr>
      <w:rFonts w:cs="Times New Roman"/>
      <w:sz w:val="16"/>
      <w:szCs w:val="16"/>
    </w:rPr>
  </w:style>
  <w:style w:type="character" w:styleId="CommentReference">
    <w:name w:val="annotation reference"/>
    <w:basedOn w:val="DefaultParagraphFont"/>
    <w:uiPriority w:val="99"/>
    <w:rsid w:val="00F87B14"/>
    <w:rPr>
      <w:sz w:val="16"/>
      <w:szCs w:val="16"/>
    </w:rPr>
  </w:style>
  <w:style w:type="paragraph" w:styleId="CommentText">
    <w:name w:val="annotation text"/>
    <w:basedOn w:val="Normal"/>
    <w:link w:val="CommentTextChar"/>
    <w:uiPriority w:val="99"/>
    <w:rsid w:val="00F87B14"/>
    <w:rPr>
      <w:sz w:val="20"/>
      <w:szCs w:val="20"/>
    </w:rPr>
  </w:style>
  <w:style w:type="character" w:customStyle="1" w:styleId="CommentTextChar">
    <w:name w:val="Comment Text Char"/>
    <w:basedOn w:val="DefaultParagraphFont"/>
    <w:link w:val="CommentText"/>
    <w:uiPriority w:val="99"/>
    <w:rsid w:val="00F87B14"/>
    <w:rPr>
      <w:sz w:val="20"/>
      <w:szCs w:val="20"/>
    </w:rPr>
  </w:style>
  <w:style w:type="paragraph" w:styleId="CommentSubject">
    <w:name w:val="annotation subject"/>
    <w:basedOn w:val="CommentText"/>
    <w:next w:val="CommentText"/>
    <w:link w:val="CommentSubjectChar"/>
    <w:uiPriority w:val="99"/>
    <w:rsid w:val="00F87B14"/>
    <w:rPr>
      <w:b/>
      <w:bCs/>
    </w:rPr>
  </w:style>
  <w:style w:type="character" w:customStyle="1" w:styleId="CommentSubjectChar">
    <w:name w:val="Comment Subject Char"/>
    <w:basedOn w:val="CommentTextChar"/>
    <w:link w:val="CommentSubject"/>
    <w:uiPriority w:val="99"/>
    <w:rsid w:val="00F87B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522">
      <w:marLeft w:val="0"/>
      <w:marRight w:val="0"/>
      <w:marTop w:val="0"/>
      <w:marBottom w:val="0"/>
      <w:divBdr>
        <w:top w:val="none" w:sz="0" w:space="0" w:color="auto"/>
        <w:left w:val="none" w:sz="0" w:space="0" w:color="auto"/>
        <w:bottom w:val="none" w:sz="0" w:space="0" w:color="auto"/>
        <w:right w:val="none" w:sz="0" w:space="0" w:color="auto"/>
      </w:divBdr>
    </w:div>
    <w:div w:id="516846523">
      <w:marLeft w:val="0"/>
      <w:marRight w:val="0"/>
      <w:marTop w:val="0"/>
      <w:marBottom w:val="0"/>
      <w:divBdr>
        <w:top w:val="none" w:sz="0" w:space="0" w:color="auto"/>
        <w:left w:val="none" w:sz="0" w:space="0" w:color="auto"/>
        <w:bottom w:val="none" w:sz="0" w:space="0" w:color="auto"/>
        <w:right w:val="none" w:sz="0" w:space="0" w:color="auto"/>
      </w:divBdr>
    </w:div>
    <w:div w:id="516846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enSit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1E0E6-5D27-4CCB-ABD5-2D182440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enSite Letter.dot</Template>
  <TotalTime>7</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afgafgasdgfsd</vt:lpstr>
    </vt:vector>
  </TitlesOfParts>
  <Company>None</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afgafgasdgfsd</dc:title>
  <dc:subject/>
  <dc:creator>Bruce Ferguson</dc:creator>
  <cp:keywords/>
  <dc:description/>
  <cp:lastModifiedBy>Ivelina Pilgrim</cp:lastModifiedBy>
  <cp:revision>6</cp:revision>
  <cp:lastPrinted>2019-01-10T15:50:00Z</cp:lastPrinted>
  <dcterms:created xsi:type="dcterms:W3CDTF">2021-12-13T03:15:00Z</dcterms:created>
  <dcterms:modified xsi:type="dcterms:W3CDTF">2022-01-10T17:44:00Z</dcterms:modified>
</cp:coreProperties>
</file>